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CC37B" w14:textId="1AB1038E" w:rsidR="00163049" w:rsidRDefault="00BB77B1">
      <w:pPr>
        <w:pStyle w:val="Title"/>
        <w:jc w:val="center"/>
      </w:pPr>
      <w:r>
        <w:t>Business Communications</w:t>
      </w:r>
      <w:r w:rsidR="0036651E">
        <w:t xml:space="preserve"> </w:t>
      </w:r>
      <w:r>
        <w:br/>
      </w:r>
      <w:r w:rsidR="0036651E">
        <w:t xml:space="preserve">Course </w:t>
      </w:r>
      <w:r>
        <w:t>Syllabus</w:t>
      </w:r>
    </w:p>
    <w:p w14:paraId="168CC37D" w14:textId="77777777" w:rsidR="00163049" w:rsidRDefault="00163049">
      <w:bookmarkStart w:id="0" w:name="_idczn7lxi390" w:colFirst="0" w:colLast="0"/>
      <w:bookmarkEnd w:id="0"/>
    </w:p>
    <w:p w14:paraId="168CC37E" w14:textId="141433FB" w:rsidR="00163049" w:rsidRDefault="0036651E">
      <w:pPr>
        <w:pStyle w:val="Heading2"/>
        <w:jc w:val="center"/>
      </w:pPr>
      <w:bookmarkStart w:id="1" w:name="_36s3fml0dcs2" w:colFirst="0" w:colLast="0"/>
      <w:bookmarkEnd w:id="1"/>
      <w:r>
        <w:t xml:space="preserve">Instructor: </w:t>
      </w:r>
      <w:r w:rsidR="00BB77B1">
        <w:t>[Name]</w:t>
      </w:r>
      <w:r>
        <w:t xml:space="preserve"> (</w:t>
      </w:r>
      <w:r w:rsidR="00BB77B1">
        <w:t>preferred pronouns</w:t>
      </w:r>
      <w:r>
        <w:t>)</w:t>
      </w:r>
    </w:p>
    <w:p w14:paraId="168CC37F" w14:textId="77777777" w:rsidR="00163049" w:rsidRDefault="00163049"/>
    <w:p w14:paraId="168CC380" w14:textId="77777777" w:rsidR="00163049" w:rsidRDefault="00163049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805"/>
      </w:tblGrid>
      <w:tr w:rsidR="00163049" w14:paraId="168CC383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81" w14:textId="77777777" w:rsidR="00163049" w:rsidRDefault="0036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Course dates: 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82" w14:textId="661AEBD0" w:rsidR="00163049" w:rsidRDefault="00163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3049" w14:paraId="168CC386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84" w14:textId="77777777" w:rsidR="00163049" w:rsidRDefault="0036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Online Orientation Session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85" w14:textId="31D57D47" w:rsidR="00163049" w:rsidRDefault="00163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3049" w14:paraId="168CC389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87" w14:textId="3A465C36" w:rsidR="00163049" w:rsidRDefault="0036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Final Day </w:t>
            </w:r>
            <w:proofErr w:type="gramStart"/>
            <w:r>
              <w:t>T</w:t>
            </w:r>
            <w:r w:rsidR="00BB77B1">
              <w:t>o</w:t>
            </w:r>
            <w:proofErr w:type="gramEnd"/>
            <w:r w:rsidR="00BB77B1">
              <w:t xml:space="preserve"> Submit Materials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88" w14:textId="6633EA27" w:rsidR="00163049" w:rsidRDefault="00163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63049" w14:paraId="168CC38C" w14:textId="77777777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8A" w14:textId="77777777" w:rsidR="00163049" w:rsidRDefault="0036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 Address: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8B" w14:textId="384C616E" w:rsidR="00163049" w:rsidRDefault="00163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68CC38D" w14:textId="77777777" w:rsidR="00163049" w:rsidRDefault="00163049"/>
    <w:p w14:paraId="168CC38E" w14:textId="77777777" w:rsidR="00163049" w:rsidRDefault="00163049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168CC38F" w14:textId="153B9081" w:rsidR="00163049" w:rsidRDefault="00BB77B1">
      <w:r>
        <w:rPr>
          <w:rFonts w:ascii="Calibri" w:eastAsia="Calibri" w:hAnsi="Calibri" w:cs="Calibri"/>
          <w:sz w:val="24"/>
          <w:szCs w:val="24"/>
        </w:rPr>
        <w:t>[Insert Indigenous Territorial Land Acknowledgement for your region]</w:t>
      </w:r>
    </w:p>
    <w:p w14:paraId="168CC390" w14:textId="77777777" w:rsidR="00163049" w:rsidRDefault="00163049"/>
    <w:p w14:paraId="168CC391" w14:textId="77777777" w:rsidR="00163049" w:rsidRDefault="0036651E">
      <w:r>
        <w:br w:type="page"/>
      </w:r>
    </w:p>
    <w:p w14:paraId="168CC392" w14:textId="77777777" w:rsidR="00163049" w:rsidRDefault="0036651E">
      <w:pPr>
        <w:pStyle w:val="Heading2"/>
        <w:spacing w:after="200"/>
      </w:pPr>
      <w:bookmarkStart w:id="2" w:name="_rg9tgxawyp5d" w:colFirst="0" w:colLast="0"/>
      <w:bookmarkEnd w:id="2"/>
      <w:r>
        <w:lastRenderedPageBreak/>
        <w:t>Course Description</w:t>
      </w:r>
    </w:p>
    <w:p w14:paraId="168CC393" w14:textId="05D8CBAC" w:rsidR="00163049" w:rsidRDefault="0036651E">
      <w:pPr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Welcome to </w:t>
      </w:r>
      <w:r w:rsidR="00BB77B1">
        <w:rPr>
          <w:rFonts w:ascii="Cambria" w:eastAsia="Cambria" w:hAnsi="Cambria" w:cs="Cambria"/>
          <w:sz w:val="24"/>
          <w:szCs w:val="24"/>
        </w:rPr>
        <w:t>our course</w:t>
      </w:r>
      <w:r>
        <w:rPr>
          <w:rFonts w:ascii="Cambria" w:eastAsia="Cambria" w:hAnsi="Cambria" w:cs="Cambria"/>
          <w:sz w:val="24"/>
          <w:szCs w:val="24"/>
        </w:rPr>
        <w:t xml:space="preserve">! </w:t>
      </w:r>
      <w:proofErr w:type="gramStart"/>
      <w:r>
        <w:rPr>
          <w:rFonts w:ascii="Cambria" w:eastAsia="Cambria" w:hAnsi="Cambria" w:cs="Cambria"/>
          <w:sz w:val="24"/>
          <w:szCs w:val="24"/>
        </w:rPr>
        <w:t>I’m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 glad that you’re here. I </w:t>
      </w:r>
      <w:proofErr w:type="gramStart"/>
      <w:r>
        <w:rPr>
          <w:rFonts w:ascii="Cambria" w:eastAsia="Cambria" w:hAnsi="Cambria" w:cs="Cambria"/>
          <w:sz w:val="24"/>
          <w:szCs w:val="24"/>
        </w:rPr>
        <w:t>can’t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wait to read your writing, hear your ideas and get to know you. Even though this class was intended to be online from the start, </w:t>
      </w:r>
      <w:proofErr w:type="gramStart"/>
      <w:r>
        <w:rPr>
          <w:rFonts w:ascii="Cambria" w:eastAsia="Cambria" w:hAnsi="Cambria" w:cs="Cambria"/>
          <w:sz w:val="24"/>
          <w:szCs w:val="24"/>
        </w:rPr>
        <w:t>we’re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living through an unprecedented moment in human history. COVI</w:t>
      </w:r>
      <w:r>
        <w:rPr>
          <w:rFonts w:ascii="Cambria" w:eastAsia="Cambria" w:hAnsi="Cambria" w:cs="Cambria"/>
          <w:sz w:val="24"/>
          <w:szCs w:val="24"/>
        </w:rPr>
        <w:t xml:space="preserve">D-19 is probably using up a lot of your brain space right now. </w:t>
      </w:r>
      <w:proofErr w:type="gramStart"/>
      <w:r>
        <w:rPr>
          <w:rFonts w:ascii="Cambria" w:eastAsia="Cambria" w:hAnsi="Cambria" w:cs="Cambria"/>
          <w:sz w:val="24"/>
          <w:szCs w:val="24"/>
        </w:rPr>
        <w:t>It’s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using up a lot of my brain space too. </w:t>
      </w:r>
    </w:p>
    <w:p w14:paraId="168CC394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So, we are going to do the best we can together. I will share with you what I have learned about writing across my various careers as a novelist, mar</w:t>
      </w:r>
      <w:r>
        <w:rPr>
          <w:rFonts w:ascii="Cambria" w:eastAsia="Cambria" w:hAnsi="Cambria" w:cs="Cambria"/>
          <w:sz w:val="24"/>
          <w:szCs w:val="24"/>
        </w:rPr>
        <w:t xml:space="preserve">keting and communications manager and writing teacher. I hope that you will share with me what you know about communicating. </w:t>
      </w:r>
    </w:p>
    <w:p w14:paraId="168CC395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396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This course will follow these guiding principles:</w:t>
      </w:r>
    </w:p>
    <w:p w14:paraId="168CC397" w14:textId="77777777" w:rsidR="00163049" w:rsidRDefault="0036651E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This is our class, not my class.</w:t>
      </w:r>
      <w:r>
        <w:rPr>
          <w:rFonts w:ascii="Cambria" w:eastAsia="Cambria" w:hAnsi="Cambria" w:cs="Cambria"/>
          <w:sz w:val="24"/>
          <w:szCs w:val="24"/>
        </w:rPr>
        <w:t xml:space="preserve"> During our orientation, we will build our clas</w:t>
      </w:r>
      <w:r>
        <w:rPr>
          <w:rFonts w:ascii="Cambria" w:eastAsia="Cambria" w:hAnsi="Cambria" w:cs="Cambria"/>
          <w:sz w:val="24"/>
          <w:szCs w:val="24"/>
        </w:rPr>
        <w:t xml:space="preserve">s culture together. If </w:t>
      </w:r>
      <w:proofErr w:type="gramStart"/>
      <w:r>
        <w:rPr>
          <w:rFonts w:ascii="Cambria" w:eastAsia="Cambria" w:hAnsi="Cambria" w:cs="Cambria"/>
          <w:sz w:val="24"/>
          <w:szCs w:val="24"/>
        </w:rPr>
        <w:t>something’s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not working, we’ll change it. If you have a great idea for an activity, share it with me. </w:t>
      </w:r>
    </w:p>
    <w:p w14:paraId="168CC398" w14:textId="77777777" w:rsidR="00163049" w:rsidRDefault="0036651E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 will give you choice.</w:t>
      </w:r>
      <w:r>
        <w:rPr>
          <w:rFonts w:ascii="Cambria" w:eastAsia="Cambria" w:hAnsi="Cambria" w:cs="Cambria"/>
          <w:sz w:val="24"/>
          <w:szCs w:val="24"/>
        </w:rPr>
        <w:t xml:space="preserve"> In each assignment,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have some options for how to show your learning. And if </w:t>
      </w:r>
      <w:proofErr w:type="gramStart"/>
      <w:r>
        <w:rPr>
          <w:rFonts w:ascii="Cambria" w:eastAsia="Cambria" w:hAnsi="Cambria" w:cs="Cambria"/>
          <w:sz w:val="24"/>
          <w:szCs w:val="24"/>
        </w:rPr>
        <w:t>you’re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not interested i</w:t>
      </w:r>
      <w:r>
        <w:rPr>
          <w:rFonts w:ascii="Cambria" w:eastAsia="Cambria" w:hAnsi="Cambria" w:cs="Cambria"/>
          <w:sz w:val="24"/>
          <w:szCs w:val="24"/>
        </w:rPr>
        <w:t xml:space="preserve">n any of those options, let’s talk. The more interested you are in this course, the better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do. </w:t>
      </w:r>
    </w:p>
    <w:p w14:paraId="168CC399" w14:textId="77777777" w:rsidR="00163049" w:rsidRDefault="0036651E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Community is as important as content</w:t>
      </w:r>
      <w:r>
        <w:rPr>
          <w:rFonts w:ascii="Cambria" w:eastAsia="Cambria" w:hAnsi="Cambria" w:cs="Cambria"/>
          <w:sz w:val="24"/>
          <w:szCs w:val="24"/>
        </w:rPr>
        <w:t xml:space="preserve">. A lot of research shows that a student’s connection with their instructor and their classmates is the #1 predictor </w:t>
      </w:r>
      <w:r>
        <w:rPr>
          <w:rFonts w:ascii="Cambria" w:eastAsia="Cambria" w:hAnsi="Cambria" w:cs="Cambria"/>
          <w:sz w:val="24"/>
          <w:szCs w:val="24"/>
        </w:rPr>
        <w:t xml:space="preserve">of success in a class. Online classes can feel isolating, so I have tried my best to build in community. </w:t>
      </w:r>
      <w:proofErr w:type="gramStart"/>
      <w:r>
        <w:rPr>
          <w:rFonts w:ascii="Cambria" w:eastAsia="Cambria" w:hAnsi="Cambria" w:cs="Cambria"/>
          <w:sz w:val="24"/>
          <w:szCs w:val="24"/>
        </w:rPr>
        <w:t>We’ll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decide together what that community looks like.</w:t>
      </w:r>
    </w:p>
    <w:p w14:paraId="168CC39A" w14:textId="77777777" w:rsidR="00163049" w:rsidRDefault="0036651E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 will be flexible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gramStart"/>
      <w:r>
        <w:rPr>
          <w:rFonts w:ascii="Cambria" w:eastAsia="Cambria" w:hAnsi="Cambria" w:cs="Cambria"/>
          <w:sz w:val="24"/>
          <w:szCs w:val="24"/>
        </w:rPr>
        <w:t>I’ve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tried to build flexibility into this course, but there is room for more</w:t>
      </w:r>
      <w:r>
        <w:rPr>
          <w:rFonts w:ascii="Cambria" w:eastAsia="Cambria" w:hAnsi="Cambria" w:cs="Cambria"/>
          <w:sz w:val="24"/>
          <w:szCs w:val="24"/>
        </w:rPr>
        <w:t xml:space="preserve">. Your timeline might not look like your classmate’s timeline, and </w:t>
      </w:r>
      <w:proofErr w:type="gramStart"/>
      <w:r>
        <w:rPr>
          <w:rFonts w:ascii="Cambria" w:eastAsia="Cambria" w:hAnsi="Cambria" w:cs="Cambria"/>
          <w:sz w:val="24"/>
          <w:szCs w:val="24"/>
        </w:rPr>
        <w:t>that’s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okay.</w:t>
      </w:r>
    </w:p>
    <w:p w14:paraId="168CC39B" w14:textId="77777777" w:rsidR="00163049" w:rsidRDefault="0036651E">
      <w:pPr>
        <w:numPr>
          <w:ilvl w:val="0"/>
          <w:numId w:val="2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We will do work that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we’re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proud of. </w:t>
      </w:r>
      <w:r>
        <w:rPr>
          <w:rFonts w:ascii="Cambria" w:eastAsia="Cambria" w:hAnsi="Cambria" w:cs="Cambria"/>
          <w:sz w:val="24"/>
          <w:szCs w:val="24"/>
        </w:rPr>
        <w:t xml:space="preserve">I want you to do assignments that </w:t>
      </w:r>
      <w:proofErr w:type="gramStart"/>
      <w:r>
        <w:rPr>
          <w:rFonts w:ascii="Cambria" w:eastAsia="Cambria" w:hAnsi="Cambria" w:cs="Cambria"/>
          <w:sz w:val="24"/>
          <w:szCs w:val="24"/>
        </w:rPr>
        <w:t>you’re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excited to show your friends and that you think about after the class is over. I will try to give </w:t>
      </w:r>
      <w:r>
        <w:rPr>
          <w:rFonts w:ascii="Cambria" w:eastAsia="Cambria" w:hAnsi="Cambria" w:cs="Cambria"/>
          <w:sz w:val="24"/>
          <w:szCs w:val="24"/>
        </w:rPr>
        <w:t xml:space="preserve">you a real-life audience. But again: if you have an idea for a project, come and talk to me. </w:t>
      </w:r>
    </w:p>
    <w:p w14:paraId="168CC39C" w14:textId="77777777" w:rsidR="00163049" w:rsidRDefault="0036651E">
      <w:pPr>
        <w:numPr>
          <w:ilvl w:val="0"/>
          <w:numId w:val="2"/>
        </w:numPr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We’ll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focus on process, not product. </w:t>
      </w:r>
      <w:r>
        <w:rPr>
          <w:rFonts w:ascii="Cambria" w:eastAsia="Cambria" w:hAnsi="Cambria" w:cs="Cambria"/>
          <w:sz w:val="24"/>
          <w:szCs w:val="24"/>
        </w:rPr>
        <w:t xml:space="preserve">To be a good writer, you need to take risks and constantly plan, </w:t>
      </w:r>
      <w:proofErr w:type="gramStart"/>
      <w:r>
        <w:rPr>
          <w:rFonts w:ascii="Cambria" w:eastAsia="Cambria" w:hAnsi="Cambria" w:cs="Cambria"/>
          <w:sz w:val="24"/>
          <w:szCs w:val="24"/>
        </w:rPr>
        <w:t>write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and revise. This course is set up to give you lots of opportunities to try again.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get regular feedback and you can make changes based on what you’ve learned. You can revise and r</w:t>
      </w:r>
      <w:r>
        <w:rPr>
          <w:rFonts w:ascii="Cambria" w:eastAsia="Cambria" w:hAnsi="Cambria" w:cs="Cambria"/>
          <w:sz w:val="24"/>
          <w:szCs w:val="24"/>
        </w:rPr>
        <w:t>esubmit assignments, for example. I hope to dial down the grade pressure, since grades have been shown to negatively impact learning.</w:t>
      </w:r>
    </w:p>
    <w:p w14:paraId="168CC39D" w14:textId="77777777" w:rsidR="00163049" w:rsidRDefault="00163049"/>
    <w:p w14:paraId="168CC39E" w14:textId="08F6C260" w:rsidR="00163049" w:rsidRDefault="00163049">
      <w:pPr>
        <w:pStyle w:val="Heading3"/>
      </w:pPr>
      <w:bookmarkStart w:id="3" w:name="_id59izpukrwm" w:colFirst="0" w:colLast="0"/>
      <w:bookmarkEnd w:id="3"/>
    </w:p>
    <w:p w14:paraId="7D8B8C60" w14:textId="77777777" w:rsidR="00E1474D" w:rsidRPr="00E1474D" w:rsidRDefault="00E1474D" w:rsidP="00E1474D"/>
    <w:p w14:paraId="168CC39F" w14:textId="77777777" w:rsidR="00163049" w:rsidRDefault="0036651E">
      <w:pPr>
        <w:pStyle w:val="Heading3"/>
      </w:pPr>
      <w:bookmarkStart w:id="4" w:name="_rw71uju62nza" w:colFirst="0" w:colLast="0"/>
      <w:bookmarkEnd w:id="4"/>
      <w:r>
        <w:lastRenderedPageBreak/>
        <w:t>Learning Outcomes</w:t>
      </w:r>
    </w:p>
    <w:p w14:paraId="168CC3A0" w14:textId="77777777" w:rsidR="00163049" w:rsidRDefault="00163049"/>
    <w:p w14:paraId="168CC3A1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Demonstrate understanding of appropriate business communication terminology</w:t>
      </w:r>
    </w:p>
    <w:p w14:paraId="168CC3A2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Demonstrate the ability t</w:t>
      </w:r>
      <w:r>
        <w:rPr>
          <w:rFonts w:ascii="Cambria" w:eastAsia="Cambria" w:hAnsi="Cambria" w:cs="Cambria"/>
          <w:sz w:val="24"/>
          <w:szCs w:val="24"/>
        </w:rPr>
        <w:t xml:space="preserve">o write clearly and concisely for the workplace using correct grammar, </w:t>
      </w:r>
      <w:proofErr w:type="gramStart"/>
      <w:r>
        <w:rPr>
          <w:rFonts w:ascii="Cambria" w:eastAsia="Cambria" w:hAnsi="Cambria" w:cs="Cambria"/>
          <w:sz w:val="24"/>
          <w:szCs w:val="24"/>
        </w:rPr>
        <w:t>mechanics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and syntax</w:t>
      </w:r>
    </w:p>
    <w:p w14:paraId="168CC3A3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Identify the differences between academic and business writing</w:t>
      </w:r>
    </w:p>
    <w:p w14:paraId="168CC3A4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Understand the basic communication models</w:t>
      </w:r>
    </w:p>
    <w:p w14:paraId="168CC3A5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Establish purpose and determine message content, medium a</w:t>
      </w:r>
      <w:r>
        <w:rPr>
          <w:rFonts w:ascii="Cambria" w:eastAsia="Cambria" w:hAnsi="Cambria" w:cs="Cambria"/>
          <w:sz w:val="24"/>
          <w:szCs w:val="24"/>
        </w:rPr>
        <w:t>nd delivery strategy through context and audience analysis</w:t>
      </w:r>
    </w:p>
    <w:p w14:paraId="168CC3A6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Adapt message and medium and purpose to a single audience and context, in both traditional and online environments</w:t>
      </w:r>
    </w:p>
    <w:p w14:paraId="168CC3A7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Compose the message for the appropriate medium, including online environments</w:t>
      </w:r>
    </w:p>
    <w:p w14:paraId="168CC3A8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Writ</w:t>
      </w:r>
      <w:r>
        <w:rPr>
          <w:rFonts w:ascii="Cambria" w:eastAsia="Cambria" w:hAnsi="Cambria" w:cs="Cambria"/>
          <w:sz w:val="24"/>
          <w:szCs w:val="24"/>
        </w:rPr>
        <w:t>e to primary and secondary audiences</w:t>
      </w:r>
    </w:p>
    <w:p w14:paraId="168CC3A9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Communicate with diverse audiences</w:t>
      </w:r>
    </w:p>
    <w:p w14:paraId="168CC3AA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Employ fundamental principles of document design and business document conventions to produce a variety of correspondence and reports</w:t>
      </w:r>
    </w:p>
    <w:p w14:paraId="168CC3AB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Integrate clear, concise, </w:t>
      </w:r>
      <w:proofErr w:type="gramStart"/>
      <w:r>
        <w:rPr>
          <w:rFonts w:ascii="Cambria" w:eastAsia="Cambria" w:hAnsi="Cambria" w:cs="Cambria"/>
          <w:sz w:val="24"/>
          <w:szCs w:val="24"/>
        </w:rPr>
        <w:t>grammatically-correct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</w:t>
      </w:r>
      <w:r>
        <w:rPr>
          <w:rFonts w:ascii="Cambria" w:eastAsia="Cambria" w:hAnsi="Cambria" w:cs="Cambria"/>
          <w:sz w:val="24"/>
          <w:szCs w:val="24"/>
        </w:rPr>
        <w:t>anguage with visual design components</w:t>
      </w:r>
    </w:p>
    <w:p w14:paraId="168CC3AC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Illustrate information using a variety of integrated figures and tables</w:t>
      </w:r>
    </w:p>
    <w:p w14:paraId="168CC3AD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Research data from primary and secondary sources, and evaluate that data for relevance and accuracy before integrating it with appropriate citati</w:t>
      </w:r>
      <w:r>
        <w:rPr>
          <w:rFonts w:ascii="Cambria" w:eastAsia="Cambria" w:hAnsi="Cambria" w:cs="Cambria"/>
          <w:sz w:val="24"/>
          <w:szCs w:val="24"/>
        </w:rPr>
        <w:t>ons into documents</w:t>
      </w:r>
    </w:p>
    <w:p w14:paraId="168CC3AE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Extract, synthesize and summarize essential information from both written and oral sources</w:t>
      </w:r>
    </w:p>
    <w:p w14:paraId="168CC3AF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Apply informative and persuasive strategies using direct and indirect approaches to achieve precisely defined goals</w:t>
      </w:r>
    </w:p>
    <w:p w14:paraId="168CC3B0" w14:textId="77777777" w:rsidR="00163049" w:rsidRDefault="0036651E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 and deliver oral presentations to an audience, within a variety of contexts</w:t>
      </w:r>
    </w:p>
    <w:p w14:paraId="168CC3B1" w14:textId="77777777" w:rsidR="00163049" w:rsidRDefault="0036651E">
      <w:pPr>
        <w:pStyle w:val="Heading3"/>
        <w:keepNext w:val="0"/>
        <w:keepLines w:val="0"/>
        <w:spacing w:before="240"/>
      </w:pPr>
      <w:bookmarkStart w:id="5" w:name="_ea4kiyngvy9e" w:colFirst="0" w:colLast="0"/>
      <w:bookmarkEnd w:id="5"/>
      <w:r>
        <w:t>Required Texts</w:t>
      </w:r>
    </w:p>
    <w:p w14:paraId="168CC3B2" w14:textId="30242675" w:rsidR="00163049" w:rsidRDefault="0036651E">
      <w:pPr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battle the rising costs of textbooks,</w:t>
      </w:r>
      <w:r>
        <w:rPr>
          <w:rFonts w:ascii="Cambria" w:eastAsia="Cambria" w:hAnsi="Cambria" w:cs="Cambria"/>
          <w:sz w:val="24"/>
          <w:szCs w:val="24"/>
        </w:rPr>
        <w:t xml:space="preserve"> we will use open source texts in this class. I will post the readings on </w:t>
      </w:r>
      <w:r w:rsidR="004A6981">
        <w:rPr>
          <w:rFonts w:ascii="Cambria" w:eastAsia="Cambria" w:hAnsi="Cambria" w:cs="Cambria"/>
          <w:sz w:val="24"/>
          <w:szCs w:val="24"/>
        </w:rPr>
        <w:t>our course site</w:t>
      </w:r>
      <w:r>
        <w:rPr>
          <w:rFonts w:ascii="Cambria" w:eastAsia="Cambria" w:hAnsi="Cambria" w:cs="Cambria"/>
          <w:sz w:val="24"/>
          <w:szCs w:val="24"/>
        </w:rPr>
        <w:t xml:space="preserve"> each week. You can also access the textbook at: </w:t>
      </w:r>
      <w:hyperlink r:id="rId5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https://kpu.pressbooks.pub/businesswriting/</w:t>
        </w:r>
      </w:hyperlink>
    </w:p>
    <w:p w14:paraId="168CC3B3" w14:textId="77777777" w:rsidR="00163049" w:rsidRDefault="0036651E">
      <w:pPr>
        <w:pStyle w:val="Heading3"/>
        <w:keepNext w:val="0"/>
        <w:keepLines w:val="0"/>
        <w:spacing w:before="240"/>
      </w:pPr>
      <w:bookmarkStart w:id="6" w:name="_njyu338fmhpw" w:colFirst="0" w:colLast="0"/>
      <w:bookmarkEnd w:id="6"/>
      <w:r>
        <w:t>Contacting Me</w:t>
      </w:r>
    </w:p>
    <w:p w14:paraId="168CC3B4" w14:textId="3953EA68" w:rsidR="00163049" w:rsidRDefault="0036651E">
      <w:pPr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Email </w:t>
      </w:r>
      <w:r>
        <w:rPr>
          <w:rFonts w:ascii="Cambria" w:eastAsia="Cambria" w:hAnsi="Cambria" w:cs="Cambria"/>
          <w:sz w:val="24"/>
          <w:szCs w:val="24"/>
        </w:rPr>
        <w:t xml:space="preserve">is the best way to reach me. I will respond to your email as quickly as possible. Please email me at </w:t>
      </w:r>
      <w:r w:rsidR="00E1474D">
        <w:t>[email address]</w:t>
      </w:r>
    </w:p>
    <w:p w14:paraId="168CC3B5" w14:textId="77777777" w:rsidR="00163049" w:rsidRDefault="0036651E">
      <w:pPr>
        <w:spacing w:after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general, online courses work best when </w:t>
      </w:r>
      <w:proofErr w:type="gramStart"/>
      <w:r>
        <w:rPr>
          <w:rFonts w:ascii="Cambria" w:eastAsia="Cambria" w:hAnsi="Cambria" w:cs="Cambria"/>
          <w:sz w:val="24"/>
          <w:szCs w:val="24"/>
        </w:rPr>
        <w:t>there’s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 lot of communication between stu</w:t>
      </w:r>
      <w:r>
        <w:rPr>
          <w:rFonts w:ascii="Cambria" w:eastAsia="Cambria" w:hAnsi="Cambria" w:cs="Cambria"/>
          <w:sz w:val="24"/>
          <w:szCs w:val="24"/>
        </w:rPr>
        <w:t xml:space="preserve">dent and instructor. We can work together and come up with a solution for nearly every problem. </w:t>
      </w:r>
    </w:p>
    <w:p w14:paraId="168CC3B6" w14:textId="77777777" w:rsidR="00163049" w:rsidRDefault="0036651E">
      <w:pPr>
        <w:pStyle w:val="Heading3"/>
      </w:pPr>
      <w:bookmarkStart w:id="7" w:name="_ssapb6iofne5" w:colFirst="0" w:colLast="0"/>
      <w:bookmarkEnd w:id="7"/>
      <w:r>
        <w:lastRenderedPageBreak/>
        <w:t>Office Hours</w:t>
      </w:r>
    </w:p>
    <w:p w14:paraId="168CC3B7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3B8" w14:textId="6ADD2E45" w:rsidR="00163049" w:rsidRDefault="004A6981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[Insert details here including the preferred method to meet (e.g. Zoom, institutional platform, Phone, etc.]</w:t>
      </w:r>
      <w:r w:rsidR="0036651E">
        <w:rPr>
          <w:rFonts w:ascii="Cambria" w:eastAsia="Cambria" w:hAnsi="Cambria" w:cs="Cambria"/>
          <w:sz w:val="24"/>
          <w:szCs w:val="24"/>
        </w:rPr>
        <w:t>. We will decide a time that wo</w:t>
      </w:r>
      <w:r w:rsidR="0036651E">
        <w:rPr>
          <w:rFonts w:ascii="Cambria" w:eastAsia="Cambria" w:hAnsi="Cambria" w:cs="Cambria"/>
          <w:sz w:val="24"/>
          <w:szCs w:val="24"/>
        </w:rPr>
        <w:t xml:space="preserve">rks for most people during our orientation. You </w:t>
      </w:r>
      <w:proofErr w:type="gramStart"/>
      <w:r w:rsidR="0036651E">
        <w:rPr>
          <w:rFonts w:ascii="Cambria" w:eastAsia="Cambria" w:hAnsi="Cambria" w:cs="Cambria"/>
          <w:sz w:val="24"/>
          <w:szCs w:val="24"/>
        </w:rPr>
        <w:t>don’t</w:t>
      </w:r>
      <w:proofErr w:type="gramEnd"/>
      <w:r w:rsidR="0036651E">
        <w:rPr>
          <w:rFonts w:ascii="Cambria" w:eastAsia="Cambria" w:hAnsi="Cambria" w:cs="Cambria"/>
          <w:sz w:val="24"/>
          <w:szCs w:val="24"/>
        </w:rPr>
        <w:t xml:space="preserve"> have to make an appointment to show up at my office hours.</w:t>
      </w:r>
    </w:p>
    <w:p w14:paraId="168CC3B9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3BA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If </w:t>
      </w:r>
      <w:proofErr w:type="gramStart"/>
      <w:r>
        <w:rPr>
          <w:rFonts w:ascii="Cambria" w:eastAsia="Cambria" w:hAnsi="Cambria" w:cs="Cambria"/>
          <w:sz w:val="24"/>
          <w:szCs w:val="24"/>
        </w:rPr>
        <w:t>you’d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like to meet with me outside of my office hours, just email me and we’ll set up a time. </w:t>
      </w:r>
    </w:p>
    <w:p w14:paraId="168CC3BB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3BC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Also, before assignments are due, we will have a writing party. You can sign on any time during the 2-hour time slot. </w:t>
      </w:r>
      <w:proofErr w:type="gramStart"/>
      <w:r>
        <w:rPr>
          <w:rFonts w:ascii="Cambria" w:eastAsia="Cambria" w:hAnsi="Cambria" w:cs="Cambria"/>
          <w:sz w:val="24"/>
          <w:szCs w:val="24"/>
        </w:rPr>
        <w:t>We’ll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just work on our assignments together, and you can ask me questions when you have them as you work. </w:t>
      </w:r>
    </w:p>
    <w:p w14:paraId="168CC3C0" w14:textId="77777777" w:rsidR="00163049" w:rsidRDefault="00163049">
      <w:bookmarkStart w:id="8" w:name="_uxso3fblf1fs" w:colFirst="0" w:colLast="0"/>
      <w:bookmarkEnd w:id="8"/>
    </w:p>
    <w:p w14:paraId="168CC3C1" w14:textId="77777777" w:rsidR="00163049" w:rsidRDefault="0036651E">
      <w:pPr>
        <w:pStyle w:val="Heading3"/>
        <w:keepNext w:val="0"/>
        <w:keepLines w:val="0"/>
        <w:spacing w:before="240"/>
      </w:pPr>
      <w:bookmarkStart w:id="9" w:name="_2a7ltaxp0e0" w:colFirst="0" w:colLast="0"/>
      <w:bookmarkEnd w:id="9"/>
      <w:r>
        <w:t>Assignments</w:t>
      </w:r>
    </w:p>
    <w:p w14:paraId="168CC3C2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These</w:t>
      </w:r>
      <w:r>
        <w:rPr>
          <w:rFonts w:ascii="Cambria" w:eastAsia="Cambria" w:hAnsi="Cambria" w:cs="Cambria"/>
          <w:sz w:val="24"/>
          <w:szCs w:val="24"/>
        </w:rPr>
        <w:t xml:space="preserve"> assignments are set up to reward your process, not your product. That means that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have lots of opportunities to try again, and you’ll be rewarded for taking risks, even if those risks don’t pay off. Many assignments are also participation-based. If </w:t>
      </w:r>
      <w:r>
        <w:rPr>
          <w:rFonts w:ascii="Cambria" w:eastAsia="Cambria" w:hAnsi="Cambria" w:cs="Cambria"/>
          <w:sz w:val="24"/>
          <w:szCs w:val="24"/>
        </w:rPr>
        <w:t xml:space="preserve">you do the work,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get the points. And there will be many opportunities for bonus points along the way. </w:t>
      </w:r>
      <w:proofErr w:type="gramStart"/>
      <w:r>
        <w:rPr>
          <w:rFonts w:ascii="Cambria" w:eastAsia="Cambria" w:hAnsi="Cambria" w:cs="Cambria"/>
          <w:sz w:val="24"/>
          <w:szCs w:val="24"/>
        </w:rPr>
        <w:t>You’re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also welcome to revise your assignments to get a higher grade. </w:t>
      </w:r>
    </w:p>
    <w:p w14:paraId="168CC3C3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3C4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say it simply: I want you to do well, and there are many opportunities f</w:t>
      </w:r>
      <w:r>
        <w:rPr>
          <w:rFonts w:ascii="Cambria" w:eastAsia="Cambria" w:hAnsi="Cambria" w:cs="Cambria"/>
          <w:sz w:val="24"/>
          <w:szCs w:val="24"/>
        </w:rPr>
        <w:t>or you to do your best work.</w:t>
      </w:r>
    </w:p>
    <w:p w14:paraId="168CC3C5" w14:textId="77777777" w:rsidR="00163049" w:rsidRDefault="0016304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545"/>
        <w:gridCol w:w="1110"/>
      </w:tblGrid>
      <w:tr w:rsidR="00163049" w14:paraId="168CC3C9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C6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Assignment Name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C7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 Date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C8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</w:tc>
      </w:tr>
      <w:tr w:rsidR="00163049" w14:paraId="168CC3CE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CA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Question of the Day</w:t>
            </w:r>
          </w:p>
          <w:p w14:paraId="168CC3CB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This is a participation exercise designed to help build community and give you practice in writing on a regular basis. From Monday to Friday,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I’ll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post a question in a discussion forum. For each question you answer, you get 1 point. You must answer 40 per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semester, which works out to about 3 per week.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CC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Weekly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CD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163049" w14:paraId="168CC3D3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CF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Progress Reports</w:t>
            </w:r>
          </w:p>
          <w:p w14:paraId="168CC3D0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 build community, you will be placed into pods of 4 people. Each week, a different student will take turns being a “pod” leader. At the end of the week, they will submit a very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hort progress report about the pod’s activities. You will submit 2 per semester.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1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Sign up twice a semester.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2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5%</w:t>
            </w:r>
          </w:p>
        </w:tc>
      </w:tr>
      <w:tr w:rsidR="00163049" w14:paraId="168CC3D8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4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Blog/Archive Proposal</w:t>
            </w:r>
          </w:p>
          <w:p w14:paraId="168CC3D5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This semester,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you’ll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have the choice of creating a blog 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making an archive of your life during Coronavirus. In this assi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gnment,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you’ll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write an email proposing what you plan to create.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6" w14:textId="586E2C24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Hand in by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7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163049" w14:paraId="168CC3DD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9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Midterm</w:t>
            </w:r>
          </w:p>
          <w:p w14:paraId="168CC3DA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your midterm, you will exchange a draft of a blog post/ archive piece with a partner. You will be graded on the feedback you give, and then the revisions you make to your draft.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B" w14:textId="5F822EA2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Complete by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C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15%</w:t>
            </w:r>
          </w:p>
        </w:tc>
      </w:tr>
      <w:tr w:rsidR="00163049" w14:paraId="168CC3EA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DE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Blog Posts/ Archive</w:t>
            </w:r>
          </w:p>
          <w:p w14:paraId="168CC3DF" w14:textId="364C3051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 the course of the semes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ter, you will blog about a topic of interest to them or create an archive of your time during Coronavirus. You will be encouraged to post on a regular basis, then select the best ones to hand in. You will hand in 3 of these blog posts during regular interv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als. At least 1 of these must use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sources, and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cite them effectively. You will be able to use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Wordpress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(publicly or privately) or you can create your archives in a Word document.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Blog Post #1: By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  <w:p w14:paraId="168CC3E0" w14:textId="56E13F11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Blog Post #2: By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  <w:p w14:paraId="168CC3E1" w14:textId="3FD005F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Blog Post #3: By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  <w:p w14:paraId="168CC3E2" w14:textId="77777777" w:rsidR="00163049" w:rsidRDefault="0016304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E3" w14:textId="676780C3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og post #1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  <w:p w14:paraId="168CC3E4" w14:textId="77777777" w:rsidR="00163049" w:rsidRDefault="0016304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8CC3E5" w14:textId="5401164F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Blog post #2 by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  <w:p w14:paraId="168CC3E6" w14:textId="77777777" w:rsidR="00163049" w:rsidRDefault="0016304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8CC3E7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Blog post #3</w:t>
            </w:r>
          </w:p>
          <w:p w14:paraId="168CC3E8" w14:textId="4CA48F86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By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E9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30%</w:t>
            </w:r>
          </w:p>
        </w:tc>
      </w:tr>
      <w:tr w:rsidR="00163049" w14:paraId="168CC3EF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EB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Cover letter OR Storytelling Video</w:t>
            </w:r>
          </w:p>
          <w:p w14:paraId="168CC3EC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You will either write a cover letter tailored to a specific job, or you will create an oral presentation that tells a story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that’s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meaningful to you.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ED" w14:textId="4BE4EAC8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Hand in by </w:t>
            </w:r>
            <w:r w:rsidR="00DF28C0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EE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163049" w14:paraId="168CC3F4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F0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Participation</w:t>
            </w:r>
          </w:p>
          <w:p w14:paraId="168CC3F1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Note: Participation activities will be worth 1 point per week. Bonu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will be 0.25.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F2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Weekly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F3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10%</w:t>
            </w:r>
          </w:p>
        </w:tc>
      </w:tr>
      <w:tr w:rsidR="00163049" w14:paraId="168CC3F9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F5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Textbook Analysis Report OR Take-Home Test Portfolio</w:t>
            </w:r>
          </w:p>
          <w:p w14:paraId="168CC3F6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You can choose to either write a report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analyzing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textbook and suggesting ways that it could be improved, or you can revise your work throughout the semester and submit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in a portfolio with a memo explaining what changes you made and why, and what grade you deserve.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F7" w14:textId="00A8B136" w:rsidR="00163049" w:rsidRDefault="00DF28C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3F8" w14:textId="7777777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20%</w:t>
            </w:r>
          </w:p>
        </w:tc>
      </w:tr>
    </w:tbl>
    <w:p w14:paraId="168CC3FA" w14:textId="77777777" w:rsidR="00163049" w:rsidRDefault="00163049"/>
    <w:p w14:paraId="168CC3FB" w14:textId="77777777" w:rsidR="00163049" w:rsidRDefault="00163049"/>
    <w:p w14:paraId="168CC3FC" w14:textId="77777777" w:rsidR="00163049" w:rsidRDefault="0036651E">
      <w:pPr>
        <w:pStyle w:val="Heading3"/>
      </w:pPr>
      <w:bookmarkStart w:id="10" w:name="_bnxjmu6uuidx" w:colFirst="0" w:colLast="0"/>
      <w:bookmarkEnd w:id="10"/>
      <w:r>
        <w:t>Extension Policy</w:t>
      </w:r>
    </w:p>
    <w:p w14:paraId="168CC3FD" w14:textId="77777777" w:rsidR="00163049" w:rsidRDefault="00163049"/>
    <w:p w14:paraId="168CC3FE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Handing in assignments by the deadlines will help me give you timely feedback. However, life happens. If you need more time, simply ask. You </w:t>
      </w:r>
      <w:proofErr w:type="gramStart"/>
      <w:r>
        <w:rPr>
          <w:rFonts w:ascii="Cambria" w:eastAsia="Cambria" w:hAnsi="Cambria" w:cs="Cambria"/>
          <w:sz w:val="24"/>
          <w:szCs w:val="24"/>
        </w:rPr>
        <w:t>don’t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need to tell me why </w:t>
      </w:r>
      <w:r>
        <w:rPr>
          <w:rFonts w:ascii="Cambria" w:eastAsia="Cambria" w:hAnsi="Cambria" w:cs="Cambria"/>
          <w:sz w:val="24"/>
          <w:szCs w:val="24"/>
        </w:rPr>
        <w:lastRenderedPageBreak/>
        <w:t>you need an extension. If you have an extension, it may take me a little longer to give y</w:t>
      </w:r>
      <w:r>
        <w:rPr>
          <w:rFonts w:ascii="Cambria" w:eastAsia="Cambria" w:hAnsi="Cambria" w:cs="Cambria"/>
          <w:sz w:val="24"/>
          <w:szCs w:val="24"/>
        </w:rPr>
        <w:t xml:space="preserve">ou feedback because I might be grading papers for other classes. </w:t>
      </w:r>
    </w:p>
    <w:p w14:paraId="168CC3FF" w14:textId="77777777" w:rsidR="00163049" w:rsidRDefault="00163049"/>
    <w:p w14:paraId="168CC400" w14:textId="77777777" w:rsidR="00163049" w:rsidRDefault="0036651E">
      <w:pPr>
        <w:pStyle w:val="Heading3"/>
        <w:keepNext w:val="0"/>
        <w:keepLines w:val="0"/>
        <w:spacing w:before="240"/>
      </w:pPr>
      <w:bookmarkStart w:id="11" w:name="_aoaitjl6zq7g" w:colFirst="0" w:colLast="0"/>
      <w:bookmarkEnd w:id="11"/>
      <w:r>
        <w:t>Language Use</w:t>
      </w:r>
    </w:p>
    <w:p w14:paraId="168CC401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Grammar and sentence mechanics are important, but </w:t>
      </w:r>
      <w:proofErr w:type="gramStart"/>
      <w:r>
        <w:rPr>
          <w:rFonts w:ascii="Cambria" w:eastAsia="Cambria" w:hAnsi="Cambria" w:cs="Cambria"/>
          <w:sz w:val="24"/>
          <w:szCs w:val="24"/>
        </w:rPr>
        <w:t>they’re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just one part of the writing process. Often, grammar causes students a lot of stress, and seeing a page full of corrections can be demoralizing.</w:t>
      </w:r>
    </w:p>
    <w:p w14:paraId="168CC402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03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My goal is to help you write as clearly and effectiv</w:t>
      </w:r>
      <w:r>
        <w:rPr>
          <w:rFonts w:ascii="Cambria" w:eastAsia="Cambria" w:hAnsi="Cambria" w:cs="Cambria"/>
          <w:sz w:val="24"/>
          <w:szCs w:val="24"/>
        </w:rPr>
        <w:t xml:space="preserve">ely as possible within the workplace. When I read your writing, I am mostly looking for clarity. If I notice that you’ve made the same grammar error a few times, I will point out an example in your work and send you a link to a resource that shows you how </w:t>
      </w:r>
      <w:r>
        <w:rPr>
          <w:rFonts w:ascii="Cambria" w:eastAsia="Cambria" w:hAnsi="Cambria" w:cs="Cambria"/>
          <w:sz w:val="24"/>
          <w:szCs w:val="24"/>
        </w:rPr>
        <w:t xml:space="preserve">to fix the error. If you correct the errors and send the assignment back to me, I will re-mark the “Style and Tone” section of your assignment. If you have concerns about your grammar, please come and see me. We can work on your grammar together. </w:t>
      </w:r>
    </w:p>
    <w:p w14:paraId="168CC404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05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Through</w:t>
      </w:r>
      <w:r>
        <w:rPr>
          <w:rFonts w:ascii="Cambria" w:eastAsia="Cambria" w:hAnsi="Cambria" w:cs="Cambria"/>
          <w:sz w:val="24"/>
          <w:szCs w:val="24"/>
        </w:rPr>
        <w:t xml:space="preserve">out the semester, </w:t>
      </w:r>
      <w:proofErr w:type="gramStart"/>
      <w:r>
        <w:rPr>
          <w:rFonts w:ascii="Cambria" w:eastAsia="Cambria" w:hAnsi="Cambria" w:cs="Cambria"/>
          <w:sz w:val="24"/>
          <w:szCs w:val="24"/>
        </w:rPr>
        <w:t>I’ll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also discuss how you can make your writing clearer and more effective.</w:t>
      </w:r>
    </w:p>
    <w:p w14:paraId="168CC406" w14:textId="77777777" w:rsidR="00163049" w:rsidRDefault="00163049"/>
    <w:p w14:paraId="168CC407" w14:textId="77777777" w:rsidR="00163049" w:rsidRDefault="0036651E">
      <w:pPr>
        <w:pStyle w:val="Heading3"/>
      </w:pPr>
      <w:bookmarkStart w:id="12" w:name="_q2wmv0ogmx39" w:colFirst="0" w:colLast="0"/>
      <w:bookmarkEnd w:id="12"/>
      <w:r>
        <w:t>Course Set Up</w:t>
      </w:r>
    </w:p>
    <w:p w14:paraId="168CC408" w14:textId="77777777" w:rsidR="00163049" w:rsidRDefault="00163049"/>
    <w:p w14:paraId="168CC409" w14:textId="0BE0C9F6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This course is created so that you can work at your own pace. This course is set up into small chunks called modules, which are themed around a to</w:t>
      </w:r>
      <w:r>
        <w:rPr>
          <w:rFonts w:ascii="Cambria" w:eastAsia="Cambria" w:hAnsi="Cambria" w:cs="Cambria"/>
          <w:sz w:val="24"/>
          <w:szCs w:val="24"/>
        </w:rPr>
        <w:t xml:space="preserve">pic. The modules will take you 1 - 3 weeks to complete, and you can work at your own pace. So, if the module takes 3 weeks, you can complete it all in 1 week, or you can use the full 3 weeks. The modules are all listed on the tabs at the top of the </w:t>
      </w:r>
      <w:r w:rsidR="00E1572E">
        <w:rPr>
          <w:rFonts w:ascii="Cambria" w:eastAsia="Cambria" w:hAnsi="Cambria" w:cs="Cambria"/>
          <w:sz w:val="24"/>
          <w:szCs w:val="24"/>
        </w:rPr>
        <w:t>course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site, and everything you need to complete the module will be on that page.</w:t>
      </w:r>
    </w:p>
    <w:p w14:paraId="168CC40A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0B" w14:textId="4006EA86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Except for our first class, which will be through </w:t>
      </w:r>
      <w:r w:rsidR="00E1572E">
        <w:rPr>
          <w:rFonts w:ascii="Cambria" w:eastAsia="Cambria" w:hAnsi="Cambria" w:cs="Cambria"/>
          <w:sz w:val="24"/>
          <w:szCs w:val="24"/>
        </w:rPr>
        <w:t>[course delivery method]</w:t>
      </w:r>
      <w:r>
        <w:rPr>
          <w:rFonts w:ascii="Cambria" w:eastAsia="Cambria" w:hAnsi="Cambria" w:cs="Cambria"/>
          <w:sz w:val="24"/>
          <w:szCs w:val="24"/>
        </w:rPr>
        <w:t xml:space="preserve">, this course will be asynchronous, which means that we </w:t>
      </w:r>
      <w:proofErr w:type="gramStart"/>
      <w:r>
        <w:rPr>
          <w:rFonts w:ascii="Cambria" w:eastAsia="Cambria" w:hAnsi="Cambria" w:cs="Cambria"/>
          <w:sz w:val="24"/>
          <w:szCs w:val="24"/>
        </w:rPr>
        <w:t>won’t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be meeting at a regular time.</w:t>
      </w:r>
    </w:p>
    <w:p w14:paraId="168CC40C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0D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You can also hand in a</w:t>
      </w:r>
      <w:r>
        <w:rPr>
          <w:rFonts w:ascii="Cambria" w:eastAsia="Cambria" w:hAnsi="Cambria" w:cs="Cambria"/>
          <w:sz w:val="24"/>
          <w:szCs w:val="24"/>
        </w:rPr>
        <w:t xml:space="preserve">ssignments at your own pace. To improve your writing,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need regular feedback. </w:t>
      </w:r>
      <w:proofErr w:type="gramStart"/>
      <w:r>
        <w:rPr>
          <w:rFonts w:ascii="Cambria" w:eastAsia="Cambria" w:hAnsi="Cambria" w:cs="Cambria"/>
          <w:sz w:val="24"/>
          <w:szCs w:val="24"/>
        </w:rPr>
        <w:t>I’ve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set up due dates, but these are flexible. Just make sure that you talk to me first if you want to hand in work after the due date.</w:t>
      </w:r>
    </w:p>
    <w:p w14:paraId="168CC40E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0F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This course map shows you how the m</w:t>
      </w:r>
      <w:r>
        <w:rPr>
          <w:rFonts w:ascii="Cambria" w:eastAsia="Cambria" w:hAnsi="Cambria" w:cs="Cambria"/>
          <w:sz w:val="24"/>
          <w:szCs w:val="24"/>
        </w:rPr>
        <w:t>odules will fit together.</w:t>
      </w:r>
    </w:p>
    <w:p w14:paraId="168CC410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11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lastRenderedPageBreak/>
        <w:drawing>
          <wp:inline distT="114300" distB="114300" distL="114300" distR="114300" wp14:anchorId="168CC47C" wp14:editId="168CC47D">
            <wp:extent cx="5734050" cy="4673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7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8CC412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13" w14:textId="77777777" w:rsidR="00163049" w:rsidRDefault="00163049">
      <w:pPr>
        <w:pStyle w:val="Heading3"/>
      </w:pPr>
      <w:bookmarkStart w:id="13" w:name="_rm9ph1z8zqhs" w:colFirst="0" w:colLast="0"/>
      <w:bookmarkEnd w:id="13"/>
    </w:p>
    <w:p w14:paraId="168CC414" w14:textId="77777777" w:rsidR="00163049" w:rsidRDefault="0036651E">
      <w:pPr>
        <w:pStyle w:val="Heading3"/>
      </w:pPr>
      <w:bookmarkStart w:id="14" w:name="_rjl101a6grr8" w:colFirst="0" w:colLast="0"/>
      <w:bookmarkEnd w:id="14"/>
      <w:r>
        <w:t>Weekly Chart</w:t>
      </w:r>
    </w:p>
    <w:p w14:paraId="168CC415" w14:textId="77777777" w:rsidR="00163049" w:rsidRDefault="0036651E">
      <w:r>
        <w:t>Track your progress with this weekly chart.</w:t>
      </w:r>
    </w:p>
    <w:p w14:paraId="168CC416" w14:textId="77777777" w:rsidR="00163049" w:rsidRDefault="00163049"/>
    <w:tbl>
      <w:tblPr>
        <w:tblStyle w:val="a1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665"/>
        <w:gridCol w:w="3120"/>
        <w:gridCol w:w="3075"/>
      </w:tblGrid>
      <w:tr w:rsidR="00163049" w14:paraId="168CC41B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17" w14:textId="77777777" w:rsidR="00163049" w:rsidRDefault="003665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18" w14:textId="77777777" w:rsidR="00163049" w:rsidRDefault="003665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19" w14:textId="77777777" w:rsidR="00163049" w:rsidRDefault="003665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1A" w14:textId="77777777" w:rsidR="00163049" w:rsidRDefault="0036651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163049" w14:paraId="168CC420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1C" w14:textId="77777777" w:rsidR="00163049" w:rsidRDefault="0036651E">
            <w:pPr>
              <w:widowControl w:val="0"/>
              <w:spacing w:line="240" w:lineRule="auto"/>
            </w:pPr>
            <w:r>
              <w:t>Week 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1D" w14:textId="4134111F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1E" w14:textId="77777777" w:rsidR="00163049" w:rsidRDefault="0036651E">
            <w:pPr>
              <w:widowControl w:val="0"/>
              <w:spacing w:line="240" w:lineRule="auto"/>
            </w:pPr>
            <w:r>
              <w:t>Introduction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1F" w14:textId="77777777" w:rsidR="00163049" w:rsidRDefault="0036651E">
            <w:pPr>
              <w:widowControl w:val="0"/>
              <w:spacing w:line="240" w:lineRule="auto"/>
            </w:pPr>
            <w:r>
              <w:t>Introduction/ Orientation</w:t>
            </w:r>
          </w:p>
        </w:tc>
      </w:tr>
      <w:tr w:rsidR="00163049" w14:paraId="168CC425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1" w14:textId="77777777" w:rsidR="00163049" w:rsidRDefault="0036651E">
            <w:pPr>
              <w:widowControl w:val="0"/>
              <w:spacing w:line="240" w:lineRule="auto"/>
            </w:pPr>
            <w:r>
              <w:t>Week 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2" w14:textId="0581BB2A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3" w14:textId="77777777" w:rsidR="00163049" w:rsidRDefault="0036651E">
            <w:pPr>
              <w:widowControl w:val="0"/>
              <w:spacing w:line="240" w:lineRule="auto"/>
            </w:pPr>
            <w:r>
              <w:t xml:space="preserve">Reflecting </w:t>
            </w:r>
            <w:proofErr w:type="gramStart"/>
            <w:r>
              <w:t>On</w:t>
            </w:r>
            <w:proofErr w:type="gramEnd"/>
            <w:r>
              <w:t xml:space="preserve"> the Past, Looking to the Future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4" w14:textId="77777777" w:rsidR="00163049" w:rsidRDefault="0036651E">
            <w:pPr>
              <w:widowControl w:val="0"/>
              <w:spacing w:line="240" w:lineRule="auto"/>
            </w:pPr>
            <w:r>
              <w:t>Writing beliefs/ writing process/ what is business communication?</w:t>
            </w:r>
          </w:p>
        </w:tc>
      </w:tr>
      <w:tr w:rsidR="00163049" w14:paraId="168CC42B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6" w14:textId="77777777" w:rsidR="00163049" w:rsidRDefault="0036651E">
            <w:pPr>
              <w:widowControl w:val="0"/>
              <w:spacing w:line="240" w:lineRule="auto"/>
            </w:pPr>
            <w:r>
              <w:t>Week 3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7" w14:textId="5CF5F91F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8" w14:textId="77777777" w:rsidR="00163049" w:rsidRDefault="0036651E">
            <w:pPr>
              <w:widowControl w:val="0"/>
              <w:spacing w:line="240" w:lineRule="auto"/>
            </w:pPr>
            <w:r>
              <w:t>Meeting Our Audience’s Needs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9" w14:textId="77777777" w:rsidR="00163049" w:rsidRDefault="0036651E">
            <w:pPr>
              <w:widowControl w:val="0"/>
              <w:spacing w:line="240" w:lineRule="auto"/>
            </w:pPr>
            <w:r>
              <w:t>Audience Analysis</w:t>
            </w:r>
          </w:p>
          <w:p w14:paraId="168CC42A" w14:textId="77777777" w:rsidR="00163049" w:rsidRDefault="00163049">
            <w:pPr>
              <w:widowControl w:val="0"/>
              <w:spacing w:line="240" w:lineRule="auto"/>
              <w:rPr>
                <w:b/>
                <w:highlight w:val="green"/>
              </w:rPr>
            </w:pPr>
          </w:p>
        </w:tc>
      </w:tr>
      <w:tr w:rsidR="00163049" w14:paraId="168CC431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C" w14:textId="77777777" w:rsidR="00163049" w:rsidRDefault="0036651E">
            <w:pPr>
              <w:widowControl w:val="0"/>
              <w:spacing w:line="240" w:lineRule="auto"/>
            </w:pPr>
            <w:r>
              <w:t>Week 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D" w14:textId="6363034F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E" w14:textId="77777777" w:rsidR="00163049" w:rsidRDefault="0036651E">
            <w:pPr>
              <w:widowControl w:val="0"/>
              <w:spacing w:line="240" w:lineRule="auto"/>
            </w:pPr>
            <w:r>
              <w:t>Meeting Our Audience’s Needs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2F" w14:textId="77777777" w:rsidR="00163049" w:rsidRDefault="0036651E">
            <w:pPr>
              <w:widowControl w:val="0"/>
              <w:spacing w:line="240" w:lineRule="auto"/>
            </w:pPr>
            <w:r>
              <w:t>Choosing Words Effectively</w:t>
            </w:r>
          </w:p>
          <w:p w14:paraId="168CC430" w14:textId="1CC1E946" w:rsidR="00163049" w:rsidRDefault="0036651E">
            <w:pPr>
              <w:widowControl w:val="0"/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Hand in Blog Proposal by </w:t>
            </w:r>
            <w:r w:rsidR="00E66152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</w:tr>
      <w:tr w:rsidR="00163049" w14:paraId="168CC437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2" w14:textId="77777777" w:rsidR="00163049" w:rsidRDefault="0036651E">
            <w:pPr>
              <w:widowControl w:val="0"/>
              <w:spacing w:line="240" w:lineRule="auto"/>
            </w:pPr>
            <w:r>
              <w:t>Week 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3" w14:textId="6882E0DD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4" w14:textId="77777777" w:rsidR="00163049" w:rsidRDefault="0036651E">
            <w:pPr>
              <w:widowControl w:val="0"/>
              <w:spacing w:line="240" w:lineRule="auto"/>
            </w:pPr>
            <w:r>
              <w:t xml:space="preserve">Meeting Our Audience’s </w:t>
            </w:r>
            <w:r>
              <w:lastRenderedPageBreak/>
              <w:t>Needs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5" w14:textId="77777777" w:rsidR="00163049" w:rsidRDefault="0036651E">
            <w:pPr>
              <w:widowControl w:val="0"/>
              <w:spacing w:line="240" w:lineRule="auto"/>
            </w:pPr>
            <w:r>
              <w:lastRenderedPageBreak/>
              <w:t>Telling Stories</w:t>
            </w:r>
          </w:p>
          <w:p w14:paraId="168CC436" w14:textId="77777777" w:rsidR="00163049" w:rsidRDefault="00163049">
            <w:pPr>
              <w:widowControl w:val="0"/>
              <w:spacing w:line="240" w:lineRule="auto"/>
            </w:pPr>
          </w:p>
        </w:tc>
      </w:tr>
      <w:tr w:rsidR="00163049" w14:paraId="168CC43D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8" w14:textId="77777777" w:rsidR="00163049" w:rsidRDefault="0036651E">
            <w:pPr>
              <w:widowControl w:val="0"/>
              <w:spacing w:line="240" w:lineRule="auto"/>
            </w:pPr>
            <w:r>
              <w:lastRenderedPageBreak/>
              <w:t>Week 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9" w14:textId="561ED5E8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A" w14:textId="77777777" w:rsidR="00163049" w:rsidRDefault="0036651E">
            <w:pPr>
              <w:widowControl w:val="0"/>
              <w:spacing w:line="240" w:lineRule="auto"/>
            </w:pPr>
            <w:r>
              <w:t>Helping Our Audience Understand the Message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B" w14:textId="77777777" w:rsidR="00163049" w:rsidRDefault="0036651E">
            <w:pPr>
              <w:widowControl w:val="0"/>
              <w:spacing w:line="240" w:lineRule="auto"/>
            </w:pPr>
            <w:r>
              <w:t>Choosing Workplace Genres</w:t>
            </w:r>
          </w:p>
          <w:p w14:paraId="168CC43C" w14:textId="77777777" w:rsidR="00163049" w:rsidRDefault="00163049">
            <w:pPr>
              <w:widowControl w:val="0"/>
              <w:spacing w:line="240" w:lineRule="auto"/>
            </w:pPr>
          </w:p>
        </w:tc>
      </w:tr>
      <w:tr w:rsidR="00163049" w14:paraId="168CC443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E" w14:textId="77777777" w:rsidR="00163049" w:rsidRDefault="0036651E">
            <w:pPr>
              <w:widowControl w:val="0"/>
              <w:spacing w:line="240" w:lineRule="auto"/>
            </w:pPr>
            <w:r>
              <w:t>Week 7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3F" w14:textId="7800F6F3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0" w14:textId="77777777" w:rsidR="00163049" w:rsidRDefault="0036651E">
            <w:pPr>
              <w:widowControl w:val="0"/>
              <w:spacing w:line="240" w:lineRule="auto"/>
            </w:pPr>
            <w:r>
              <w:t>Helping Our Audience Understand the Message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1" w14:textId="77777777" w:rsidR="00163049" w:rsidRDefault="0036651E">
            <w:pPr>
              <w:widowControl w:val="0"/>
              <w:spacing w:line="240" w:lineRule="auto"/>
            </w:pPr>
            <w:r>
              <w:t>Organizing Our Writing</w:t>
            </w:r>
          </w:p>
          <w:p w14:paraId="168CC442" w14:textId="4A1CA935" w:rsidR="00163049" w:rsidRDefault="0036651E">
            <w:pPr>
              <w:widowControl w:val="0"/>
              <w:spacing w:line="240" w:lineRule="auto"/>
              <w:rPr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Hand in blog post #1 by </w:t>
            </w:r>
            <w:r w:rsidR="00E66152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</w:tr>
      <w:tr w:rsidR="00163049" w14:paraId="168CC449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4" w14:textId="77777777" w:rsidR="00163049" w:rsidRDefault="0036651E">
            <w:pPr>
              <w:widowControl w:val="0"/>
              <w:spacing w:line="240" w:lineRule="auto"/>
            </w:pPr>
            <w:r>
              <w:t>Week 8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5" w14:textId="489428F9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6" w14:textId="77777777" w:rsidR="00163049" w:rsidRDefault="0036651E">
            <w:pPr>
              <w:widowControl w:val="0"/>
              <w:spacing w:line="240" w:lineRule="auto"/>
            </w:pPr>
            <w:r>
              <w:t>Helping Our Audience Understand the Me</w:t>
            </w:r>
            <w:r>
              <w:t>ssage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7" w14:textId="77777777" w:rsidR="00163049" w:rsidRDefault="0036651E">
            <w:pPr>
              <w:widowControl w:val="0"/>
              <w:spacing w:line="240" w:lineRule="auto"/>
            </w:pPr>
            <w:r>
              <w:t>Giving and Receiving Feedback</w:t>
            </w:r>
          </w:p>
          <w:p w14:paraId="168CC448" w14:textId="77777777" w:rsidR="00163049" w:rsidRDefault="00163049">
            <w:pPr>
              <w:widowControl w:val="0"/>
              <w:spacing w:line="240" w:lineRule="auto"/>
              <w:rPr>
                <w:b/>
                <w:highlight w:val="green"/>
              </w:rPr>
            </w:pPr>
          </w:p>
        </w:tc>
      </w:tr>
      <w:tr w:rsidR="00163049" w14:paraId="168CC450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A" w14:textId="77777777" w:rsidR="00163049" w:rsidRDefault="0036651E">
            <w:pPr>
              <w:widowControl w:val="0"/>
              <w:spacing w:line="240" w:lineRule="auto"/>
            </w:pPr>
            <w:r>
              <w:t>Week 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B" w14:textId="76F4C6AC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C" w14:textId="77777777" w:rsidR="00163049" w:rsidRDefault="0036651E">
            <w:pPr>
              <w:widowControl w:val="0"/>
              <w:spacing w:line="240" w:lineRule="auto"/>
            </w:pPr>
            <w:r>
              <w:t xml:space="preserve">Bringing Other Voices </w:t>
            </w:r>
            <w:proofErr w:type="gramStart"/>
            <w:r>
              <w:t>Into</w:t>
            </w:r>
            <w:proofErr w:type="gramEnd"/>
            <w:r>
              <w:t xml:space="preserve"> the Conversation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4D" w14:textId="77777777" w:rsidR="00163049" w:rsidRDefault="0036651E">
            <w:pPr>
              <w:widowControl w:val="0"/>
              <w:spacing w:line="240" w:lineRule="auto"/>
            </w:pPr>
            <w:r>
              <w:t>Finding and Evaluating Sources</w:t>
            </w:r>
          </w:p>
          <w:p w14:paraId="168CC44E" w14:textId="111B28F6" w:rsidR="00163049" w:rsidRDefault="0036651E">
            <w:pPr>
              <w:widowControl w:val="0"/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Hand in midterm by </w:t>
            </w:r>
            <w:r w:rsidR="00E66152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  <w:p w14:paraId="168CC44F" w14:textId="77777777" w:rsidR="00163049" w:rsidRDefault="00163049">
            <w:pPr>
              <w:widowControl w:val="0"/>
              <w:spacing w:line="240" w:lineRule="auto"/>
              <w:rPr>
                <w:b/>
                <w:highlight w:val="green"/>
              </w:rPr>
            </w:pPr>
          </w:p>
        </w:tc>
      </w:tr>
      <w:tr w:rsidR="00163049" w14:paraId="168CC456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1" w14:textId="77777777" w:rsidR="00163049" w:rsidRDefault="0036651E">
            <w:pPr>
              <w:widowControl w:val="0"/>
              <w:spacing w:line="240" w:lineRule="auto"/>
            </w:pPr>
            <w:r>
              <w:t>Week 10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2" w14:textId="59FF0DFA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3" w14:textId="77777777" w:rsidR="00163049" w:rsidRDefault="0036651E">
            <w:pPr>
              <w:widowControl w:val="0"/>
              <w:spacing w:line="240" w:lineRule="auto"/>
            </w:pPr>
            <w:r>
              <w:t xml:space="preserve">Bringing Other Voices </w:t>
            </w:r>
            <w:proofErr w:type="gramStart"/>
            <w:r>
              <w:t>Into</w:t>
            </w:r>
            <w:proofErr w:type="gramEnd"/>
            <w:r>
              <w:t xml:space="preserve"> the Conversation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4" w14:textId="77777777" w:rsidR="00163049" w:rsidRDefault="0036651E">
            <w:pPr>
              <w:widowControl w:val="0"/>
              <w:spacing w:line="240" w:lineRule="auto"/>
            </w:pPr>
            <w:r>
              <w:t>Working with Sources</w:t>
            </w:r>
          </w:p>
          <w:p w14:paraId="168CC455" w14:textId="1FBC8C53" w:rsidR="00163049" w:rsidRDefault="0036651E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Hand in blog post #2 by </w:t>
            </w:r>
            <w:r w:rsidR="00E66152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</w:tr>
      <w:tr w:rsidR="00163049" w14:paraId="168CC45B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7" w14:textId="77777777" w:rsidR="00163049" w:rsidRDefault="0036651E">
            <w:pPr>
              <w:widowControl w:val="0"/>
              <w:spacing w:line="240" w:lineRule="auto"/>
            </w:pPr>
            <w:r>
              <w:t>Week 11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8" w14:textId="1F600A6C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9" w14:textId="77777777" w:rsidR="00163049" w:rsidRDefault="0036651E">
            <w:pPr>
              <w:widowControl w:val="0"/>
              <w:spacing w:line="240" w:lineRule="auto"/>
            </w:pPr>
            <w:r>
              <w:t>Persuading Our Audience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A" w14:textId="77777777" w:rsidR="00163049" w:rsidRDefault="0036651E">
            <w:pPr>
              <w:spacing w:line="240" w:lineRule="auto"/>
            </w:pPr>
            <w:r>
              <w:t>How to Change Someone’s Mind</w:t>
            </w:r>
          </w:p>
        </w:tc>
      </w:tr>
      <w:tr w:rsidR="00163049" w14:paraId="168CC461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C" w14:textId="77777777" w:rsidR="00163049" w:rsidRDefault="0036651E">
            <w:pPr>
              <w:widowControl w:val="0"/>
              <w:spacing w:line="240" w:lineRule="auto"/>
            </w:pPr>
            <w:r>
              <w:t>Week 12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D" w14:textId="427C828A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E" w14:textId="77777777" w:rsidR="00163049" w:rsidRDefault="0036651E">
            <w:pPr>
              <w:widowControl w:val="0"/>
              <w:spacing w:line="240" w:lineRule="auto"/>
            </w:pPr>
            <w:r>
              <w:t>Persuading Our Audience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5F" w14:textId="77777777" w:rsidR="00163049" w:rsidRDefault="0036651E">
            <w:pPr>
              <w:spacing w:line="240" w:lineRule="auto"/>
            </w:pPr>
            <w:r>
              <w:t xml:space="preserve">Working </w:t>
            </w:r>
            <w:proofErr w:type="gramStart"/>
            <w:r>
              <w:t>With</w:t>
            </w:r>
            <w:proofErr w:type="gramEnd"/>
            <w:r>
              <w:t xml:space="preserve"> Sources to Create An Argument</w:t>
            </w:r>
          </w:p>
          <w:p w14:paraId="168CC460" w14:textId="0B631EF2" w:rsidR="00163049" w:rsidRDefault="0036651E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Hand in Blog post #3 by </w:t>
            </w:r>
            <w:r w:rsidR="00E66152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</w:tr>
      <w:tr w:rsidR="00163049" w14:paraId="168CC468" w14:textId="7777777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62" w14:textId="77777777" w:rsidR="00163049" w:rsidRDefault="0036651E">
            <w:pPr>
              <w:widowControl w:val="0"/>
              <w:spacing w:line="240" w:lineRule="auto"/>
            </w:pPr>
            <w:r>
              <w:t>Week 13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63" w14:textId="42E97B95" w:rsidR="00163049" w:rsidRDefault="0016304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64" w14:textId="77777777" w:rsidR="00163049" w:rsidRDefault="0036651E">
            <w:pPr>
              <w:widowControl w:val="0"/>
              <w:spacing w:line="240" w:lineRule="auto"/>
            </w:pPr>
            <w:r>
              <w:t xml:space="preserve">Looking Back on What We </w:t>
            </w:r>
            <w:proofErr w:type="gramStart"/>
            <w:r>
              <w:t>Learned/ Celebrating</w:t>
            </w:r>
            <w:proofErr w:type="gramEnd"/>
            <w:r>
              <w:t xml:space="preserve"> Our Success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465" w14:textId="5F09D948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Hand in cover letter or storytelling video by </w:t>
            </w:r>
            <w:r w:rsidR="00E66152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  <w:p w14:paraId="168CC466" w14:textId="77777777" w:rsidR="00163049" w:rsidRDefault="0016304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8CC467" w14:textId="3FAC6327" w:rsidR="00163049" w:rsidRDefault="0036651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Textbook Analysis Report OR Take-Home Test Portfolio by </w:t>
            </w:r>
            <w:r w:rsidR="00E66152">
              <w:rPr>
                <w:rFonts w:ascii="Calibri" w:eastAsia="Calibri" w:hAnsi="Calibri" w:cs="Calibri"/>
                <w:b/>
                <w:sz w:val="24"/>
                <w:szCs w:val="24"/>
              </w:rPr>
              <w:t>[deadline]</w:t>
            </w:r>
          </w:p>
        </w:tc>
      </w:tr>
    </w:tbl>
    <w:p w14:paraId="168CC469" w14:textId="77777777" w:rsidR="00163049" w:rsidRDefault="00163049"/>
    <w:p w14:paraId="168CC46A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6B" w14:textId="77777777" w:rsidR="00163049" w:rsidRDefault="0036651E">
      <w:pPr>
        <w:pStyle w:val="Heading3"/>
      </w:pPr>
      <w:bookmarkStart w:id="15" w:name="_utp45c29kbt9" w:colFirst="0" w:colLast="0"/>
      <w:bookmarkEnd w:id="15"/>
      <w:r>
        <w:t>About the Pods</w:t>
      </w:r>
    </w:p>
    <w:p w14:paraId="168CC46C" w14:textId="77777777" w:rsidR="00163049" w:rsidRDefault="00163049"/>
    <w:p w14:paraId="168CC46D" w14:textId="2416401E" w:rsidR="00163049" w:rsidRDefault="0036651E">
      <w:r>
        <w:rPr>
          <w:rFonts w:ascii="Cambria" w:eastAsia="Cambria" w:hAnsi="Cambria" w:cs="Cambria"/>
          <w:sz w:val="24"/>
          <w:szCs w:val="24"/>
        </w:rPr>
        <w:t xml:space="preserve">Online courses can feel lonely. While all assignments are individual,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be placed in a pod of 4 - 5 people. You’ll work on participation activities with </w:t>
      </w:r>
      <w:proofErr w:type="gramStart"/>
      <w:r>
        <w:rPr>
          <w:rFonts w:ascii="Cambria" w:eastAsia="Cambria" w:hAnsi="Cambria" w:cs="Cambria"/>
          <w:sz w:val="24"/>
          <w:szCs w:val="24"/>
        </w:rPr>
        <w:t>them, and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check in with them regularly. This semester,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be the weekly pod leader twice. At t</w:t>
      </w:r>
      <w:r>
        <w:rPr>
          <w:rFonts w:ascii="Cambria" w:eastAsia="Cambria" w:hAnsi="Cambria" w:cs="Cambria"/>
          <w:sz w:val="24"/>
          <w:szCs w:val="24"/>
        </w:rPr>
        <w:t xml:space="preserve">he end of the week, </w:t>
      </w:r>
      <w:proofErr w:type="gramStart"/>
      <w:r>
        <w:rPr>
          <w:rFonts w:ascii="Cambria" w:eastAsia="Cambria" w:hAnsi="Cambria" w:cs="Cambria"/>
          <w:sz w:val="24"/>
          <w:szCs w:val="24"/>
        </w:rPr>
        <w:t>you’ll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submit a very short progress report (using online </w:t>
      </w:r>
      <w:r>
        <w:rPr>
          <w:rFonts w:ascii="Cambria" w:eastAsia="Cambria" w:hAnsi="Cambria" w:cs="Cambria"/>
          <w:sz w:val="24"/>
          <w:szCs w:val="24"/>
        </w:rPr>
        <w:t xml:space="preserve">quizzes) that tells me what your pod is working on this week. You can also let me know what questions you </w:t>
      </w:r>
      <w:r>
        <w:rPr>
          <w:rFonts w:ascii="Cambria" w:eastAsia="Cambria" w:hAnsi="Cambria" w:cs="Cambria"/>
          <w:sz w:val="24"/>
          <w:szCs w:val="24"/>
        </w:rPr>
        <w:lastRenderedPageBreak/>
        <w:t xml:space="preserve">have, and if </w:t>
      </w:r>
      <w:proofErr w:type="gramStart"/>
      <w:r>
        <w:rPr>
          <w:rFonts w:ascii="Cambria" w:eastAsia="Cambria" w:hAnsi="Cambria" w:cs="Cambria"/>
          <w:sz w:val="24"/>
          <w:szCs w:val="24"/>
        </w:rPr>
        <w:t>you’re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encountering any problems. This will let me address y</w:t>
      </w:r>
      <w:r>
        <w:rPr>
          <w:rFonts w:ascii="Cambria" w:eastAsia="Cambria" w:hAnsi="Cambria" w:cs="Cambria"/>
          <w:sz w:val="24"/>
          <w:szCs w:val="24"/>
        </w:rPr>
        <w:t xml:space="preserve">our questions and make sure </w:t>
      </w:r>
      <w:proofErr w:type="gramStart"/>
      <w:r>
        <w:rPr>
          <w:rFonts w:ascii="Cambria" w:eastAsia="Cambria" w:hAnsi="Cambria" w:cs="Cambria"/>
          <w:sz w:val="24"/>
          <w:szCs w:val="24"/>
        </w:rPr>
        <w:t>everyone’s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on track.</w:t>
      </w:r>
    </w:p>
    <w:p w14:paraId="168CC46E" w14:textId="77777777" w:rsidR="00163049" w:rsidRDefault="0036651E">
      <w:pPr>
        <w:pStyle w:val="Heading3"/>
      </w:pPr>
      <w:bookmarkStart w:id="16" w:name="_fqd7jdv77869" w:colFirst="0" w:colLast="0"/>
      <w:bookmarkEnd w:id="16"/>
      <w:r>
        <w:t>Academic Integrity Policy</w:t>
      </w:r>
    </w:p>
    <w:p w14:paraId="168CC46F" w14:textId="77777777" w:rsidR="00163049" w:rsidRDefault="00163049"/>
    <w:p w14:paraId="168CC470" w14:textId="735043B4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This class teaches how to use sources, so </w:t>
      </w:r>
      <w:proofErr w:type="gramStart"/>
      <w:r>
        <w:rPr>
          <w:rFonts w:ascii="Cambria" w:eastAsia="Cambria" w:hAnsi="Cambria" w:cs="Cambria"/>
          <w:sz w:val="24"/>
          <w:szCs w:val="24"/>
        </w:rPr>
        <w:t>we’ll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talk a lot about academic integrity. I approach most academic integrity violations as opportunities to learn. If I find evidence of </w:t>
      </w:r>
      <w:r>
        <w:rPr>
          <w:rFonts w:ascii="Cambria" w:eastAsia="Cambria" w:hAnsi="Cambria" w:cs="Cambria"/>
          <w:sz w:val="24"/>
          <w:szCs w:val="24"/>
        </w:rPr>
        <w:t xml:space="preserve">improper source use in your work, I will ask to meet with </w:t>
      </w:r>
      <w:proofErr w:type="gramStart"/>
      <w:r>
        <w:rPr>
          <w:rFonts w:ascii="Cambria" w:eastAsia="Cambria" w:hAnsi="Cambria" w:cs="Cambria"/>
          <w:sz w:val="24"/>
          <w:szCs w:val="24"/>
        </w:rPr>
        <w:t>you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and you will be required to revise your work. In rare cases, such as when I find evidence of </w:t>
      </w:r>
      <w:proofErr w:type="spellStart"/>
      <w:r>
        <w:rPr>
          <w:rFonts w:ascii="Cambria" w:eastAsia="Cambria" w:hAnsi="Cambria" w:cs="Cambria"/>
          <w:sz w:val="24"/>
          <w:szCs w:val="24"/>
        </w:rPr>
        <w:t>ghostwriting</w:t>
      </w:r>
      <w:proofErr w:type="spellEnd"/>
      <w:r>
        <w:rPr>
          <w:rFonts w:ascii="Cambria" w:eastAsia="Cambria" w:hAnsi="Cambria" w:cs="Cambria"/>
          <w:sz w:val="24"/>
          <w:szCs w:val="24"/>
        </w:rPr>
        <w:t>, I may pursue formal plagiarism charges. Please familiarize yourself w</w:t>
      </w:r>
      <w:r w:rsidR="00A3517B">
        <w:rPr>
          <w:rFonts w:ascii="Cambria" w:eastAsia="Cambria" w:hAnsi="Cambria" w:cs="Cambria"/>
          <w:sz w:val="24"/>
          <w:szCs w:val="24"/>
        </w:rPr>
        <w:t>ith [link to your institution’s academic integrity policy]</w:t>
      </w:r>
    </w:p>
    <w:p w14:paraId="168CC471" w14:textId="77777777" w:rsidR="00163049" w:rsidRDefault="00163049"/>
    <w:p w14:paraId="168CC472" w14:textId="77777777" w:rsidR="00163049" w:rsidRDefault="0036651E">
      <w:pPr>
        <w:pStyle w:val="Heading3"/>
        <w:keepNext w:val="0"/>
        <w:keepLines w:val="0"/>
        <w:spacing w:before="240"/>
      </w:pPr>
      <w:bookmarkStart w:id="17" w:name="_c783bqu0wieb" w:colFirst="0" w:colLast="0"/>
      <w:bookmarkEnd w:id="17"/>
      <w:r>
        <w:t>Student Conduct Policy</w:t>
      </w:r>
    </w:p>
    <w:p w14:paraId="168CC473" w14:textId="7777777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University ascribes to the highest standards of conduct. Adhering to these standards of cond</w:t>
      </w:r>
      <w:r>
        <w:rPr>
          <w:rFonts w:ascii="Cambria" w:eastAsia="Cambria" w:hAnsi="Cambria" w:cs="Cambria"/>
          <w:sz w:val="24"/>
          <w:szCs w:val="24"/>
        </w:rPr>
        <w:t>uct means observing the values on which an academic community must be founded: respect, safety, civility, inclusiveness, and freedom from harassment and discrimination. Students are expected to conduct themselves in a manner that is consistent with these v</w:t>
      </w:r>
      <w:r>
        <w:rPr>
          <w:rFonts w:ascii="Cambria" w:eastAsia="Cambria" w:hAnsi="Cambria" w:cs="Cambria"/>
          <w:sz w:val="24"/>
          <w:szCs w:val="24"/>
        </w:rPr>
        <w:t>alues. These standards of conduct require that Students obey the law, be aware of and abide by University policies, behave in a safe and civil manner, demonstrate respect for members of the University’s community, and demonstrate respect for the University</w:t>
      </w:r>
      <w:r>
        <w:rPr>
          <w:rFonts w:ascii="Cambria" w:eastAsia="Cambria" w:hAnsi="Cambria" w:cs="Cambria"/>
          <w:sz w:val="24"/>
          <w:szCs w:val="24"/>
        </w:rPr>
        <w:t>’s and its community members’ property and resources.</w:t>
      </w:r>
    </w:p>
    <w:p w14:paraId="168CC474" w14:textId="77777777" w:rsidR="00163049" w:rsidRDefault="00163049">
      <w:pPr>
        <w:rPr>
          <w:rFonts w:ascii="Cambria" w:eastAsia="Cambria" w:hAnsi="Cambria" w:cs="Cambria"/>
          <w:sz w:val="24"/>
          <w:szCs w:val="24"/>
        </w:rPr>
      </w:pPr>
    </w:p>
    <w:p w14:paraId="168CC475" w14:textId="69683E40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learn more, please read the</w:t>
      </w:r>
      <w:r w:rsidR="00A3517B">
        <w:rPr>
          <w:rFonts w:ascii="Cambria" w:eastAsia="Cambria" w:hAnsi="Cambria" w:cs="Cambria"/>
          <w:sz w:val="24"/>
          <w:szCs w:val="24"/>
        </w:rPr>
        <w:t xml:space="preserve"> [link to your institution’s student conduct policy]</w:t>
      </w:r>
    </w:p>
    <w:p w14:paraId="168CC476" w14:textId="77777777" w:rsidR="00163049" w:rsidRDefault="00163049"/>
    <w:p w14:paraId="168CC477" w14:textId="77777777" w:rsidR="00163049" w:rsidRDefault="0036651E">
      <w:pPr>
        <w:pStyle w:val="Heading3"/>
      </w:pPr>
      <w:bookmarkStart w:id="18" w:name="_t9p85jny5vfa" w:colFirst="0" w:colLast="0"/>
      <w:bookmarkEnd w:id="18"/>
      <w:r>
        <w:t xml:space="preserve">Diversity and Inclusion </w:t>
      </w:r>
      <w:r>
        <w:t>Policy</w:t>
      </w:r>
    </w:p>
    <w:p w14:paraId="168CC478" w14:textId="77777777" w:rsidR="00163049" w:rsidRDefault="00163049"/>
    <w:p w14:paraId="168CC479" w14:textId="5FD333C7" w:rsidR="00163049" w:rsidRDefault="0036651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 will work hard to build a classroom community that works for everyone. Please familiarize yourself with </w:t>
      </w:r>
      <w:r w:rsidR="00A3517B">
        <w:t>[link to your institution’s diversity and inclusion policy]</w:t>
      </w:r>
    </w:p>
    <w:p w14:paraId="168CC47A" w14:textId="77777777" w:rsidR="00163049" w:rsidRDefault="00163049"/>
    <w:p w14:paraId="168CC47B" w14:textId="44763DB2" w:rsidR="00163049" w:rsidRDefault="00163049"/>
    <w:p w14:paraId="0729BECB" w14:textId="67891F27" w:rsidR="00A3517B" w:rsidRPr="00A3517B" w:rsidRDefault="00A3517B" w:rsidP="00A3517B"/>
    <w:p w14:paraId="127CF7DB" w14:textId="5F3D5A7C" w:rsidR="00A3517B" w:rsidRDefault="00A3517B" w:rsidP="00A3517B"/>
    <w:p w14:paraId="4FC51D4A" w14:textId="58017C58" w:rsidR="00A3517B" w:rsidRPr="00A3517B" w:rsidRDefault="00A3517B" w:rsidP="00A3517B">
      <w:pPr>
        <w:tabs>
          <w:tab w:val="left" w:pos="2364"/>
        </w:tabs>
      </w:pPr>
      <w:r>
        <w:tab/>
      </w:r>
    </w:p>
    <w:sectPr w:rsidR="00A3517B" w:rsidRPr="00A351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6A95"/>
    <w:multiLevelType w:val="multilevel"/>
    <w:tmpl w:val="349837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334AD"/>
    <w:multiLevelType w:val="multilevel"/>
    <w:tmpl w:val="01AEB5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49"/>
    <w:rsid w:val="00163049"/>
    <w:rsid w:val="0036651E"/>
    <w:rsid w:val="004A6981"/>
    <w:rsid w:val="00A3517B"/>
    <w:rsid w:val="00AD0E7A"/>
    <w:rsid w:val="00BB77B1"/>
    <w:rsid w:val="00DF28C0"/>
    <w:rsid w:val="00E1474D"/>
    <w:rsid w:val="00E1572E"/>
    <w:rsid w:val="00E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C37B"/>
  <w15:docId w15:val="{64CB2FCF-5815-40DF-86EA-E3BC5901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pu.pressbooks.pub/businesswri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10</cp:revision>
  <dcterms:created xsi:type="dcterms:W3CDTF">2020-08-12T06:01:00Z</dcterms:created>
  <dcterms:modified xsi:type="dcterms:W3CDTF">2020-08-12T06:08:00Z</dcterms:modified>
</cp:coreProperties>
</file>