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A437" w14:textId="77777777" w:rsidR="00F33511" w:rsidRDefault="008C1E03">
      <w:pPr>
        <w:rPr>
          <w:sz w:val="40"/>
          <w:szCs w:val="40"/>
        </w:rPr>
      </w:pPr>
      <w:r>
        <w:rPr>
          <w:sz w:val="40"/>
          <w:szCs w:val="40"/>
        </w:rPr>
        <w:t>Guiding Engineering Work with Social Context - Knowledge Strategy Development</w:t>
      </w:r>
    </w:p>
    <w:p w14:paraId="1642BDA8" w14:textId="77777777" w:rsidR="00F33511" w:rsidRDefault="008C1E03">
      <w:pPr>
        <w:rPr>
          <w:b/>
          <w:i/>
        </w:rPr>
      </w:pPr>
      <w:r>
        <w:rPr>
          <w:b/>
          <w:i/>
        </w:rPr>
        <w:t>Assignment Introduction</w:t>
      </w:r>
    </w:p>
    <w:p w14:paraId="19728A2F" w14:textId="77777777" w:rsidR="00F33511" w:rsidRDefault="008C1E03">
      <w:r>
        <w:t>In the lecture, we discussed the necessity of values and beliefs on a personal, communal and professional level. These values and beliefs were shown to vary from place to place. The OECD global priority survey showed us for example that Brazilian respondents prioritize education while the Indian respondents value life satisfaction most. Personal values influence our engineering work, and our own values may be in conflict with the beneficiaries of our engineering project. So, engineers should become familiarized with the process of identifying values, beliefs and priorities.</w:t>
      </w:r>
    </w:p>
    <w:p w14:paraId="5A2BF0BC" w14:textId="77777777" w:rsidR="00F33511" w:rsidRDefault="00F33511"/>
    <w:p w14:paraId="62BF36F5" w14:textId="77777777" w:rsidR="00F33511" w:rsidRDefault="008C1E03">
      <w:r>
        <w:t xml:space="preserve">In this assignment, you will identify and discuss some of your own values and priorities in the </w:t>
      </w:r>
      <w:r>
        <w:rPr>
          <w:i/>
        </w:rPr>
        <w:t>self-reflection</w:t>
      </w:r>
      <w:r>
        <w:t xml:space="preserve"> section, and become familiar with the values of Indigenous people affected by your engineering work through the development of a </w:t>
      </w:r>
      <w:r>
        <w:rPr>
          <w:i/>
        </w:rPr>
        <w:t>knowledge strategy document</w:t>
      </w:r>
      <w:r>
        <w:t>.</w:t>
      </w:r>
    </w:p>
    <w:p w14:paraId="5CAC4CF6" w14:textId="77777777" w:rsidR="00F33511" w:rsidRDefault="00F33511"/>
    <w:p w14:paraId="59117226" w14:textId="77777777" w:rsidR="00F33511" w:rsidRDefault="008C1E03">
      <w:pPr>
        <w:rPr>
          <w:b/>
          <w:i/>
        </w:rPr>
      </w:pPr>
      <w:r>
        <w:rPr>
          <w:b/>
          <w:i/>
        </w:rPr>
        <w:t>Learning Outcomes</w:t>
      </w:r>
    </w:p>
    <w:p w14:paraId="0D551485" w14:textId="77777777" w:rsidR="00F33511" w:rsidRDefault="008C1E03">
      <w:pPr>
        <w:rPr>
          <w:b/>
          <w:i/>
        </w:rPr>
      </w:pPr>
      <w:r>
        <w:t>After the completion of the assignment and accompanying lecture, you will be able to:</w:t>
      </w:r>
    </w:p>
    <w:p w14:paraId="1400D756" w14:textId="77777777" w:rsidR="00F33511" w:rsidRDefault="00F33511"/>
    <w:tbl>
      <w:tblPr>
        <w:tblStyle w:val="a"/>
        <w:tblW w:w="9359" w:type="dxa"/>
        <w:tblBorders>
          <w:top w:val="nil"/>
          <w:left w:val="nil"/>
          <w:bottom w:val="nil"/>
          <w:right w:val="nil"/>
          <w:insideH w:val="nil"/>
          <w:insideV w:val="nil"/>
        </w:tblBorders>
        <w:tblLayout w:type="fixed"/>
        <w:tblLook w:val="0600" w:firstRow="0" w:lastRow="0" w:firstColumn="0" w:lastColumn="0" w:noHBand="1" w:noVBand="1"/>
      </w:tblPr>
      <w:tblGrid>
        <w:gridCol w:w="3032"/>
        <w:gridCol w:w="3565"/>
        <w:gridCol w:w="2762"/>
      </w:tblGrid>
      <w:tr w:rsidR="00F33511" w14:paraId="79223849" w14:textId="77777777">
        <w:trPr>
          <w:trHeight w:val="510"/>
        </w:trPr>
        <w:tc>
          <w:tcPr>
            <w:tcW w:w="30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F51A760" w14:textId="77777777" w:rsidR="00F33511" w:rsidRDefault="008C1E03">
            <w:pPr>
              <w:widowControl w:val="0"/>
              <w:spacing w:line="331" w:lineRule="auto"/>
              <w:jc w:val="center"/>
              <w:rPr>
                <w:sz w:val="20"/>
                <w:szCs w:val="20"/>
              </w:rPr>
            </w:pPr>
            <w:r>
              <w:rPr>
                <w:sz w:val="20"/>
                <w:szCs w:val="20"/>
              </w:rPr>
              <w:t>Knowledge</w:t>
            </w:r>
          </w:p>
        </w:tc>
        <w:tc>
          <w:tcPr>
            <w:tcW w:w="35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A8F035C" w14:textId="77777777" w:rsidR="00F33511" w:rsidRDefault="008C1E03">
            <w:pPr>
              <w:widowControl w:val="0"/>
              <w:spacing w:line="331" w:lineRule="auto"/>
              <w:jc w:val="center"/>
              <w:rPr>
                <w:sz w:val="20"/>
                <w:szCs w:val="20"/>
              </w:rPr>
            </w:pPr>
            <w:r>
              <w:rPr>
                <w:sz w:val="20"/>
                <w:szCs w:val="20"/>
              </w:rPr>
              <w:t>Skills</w:t>
            </w:r>
          </w:p>
        </w:tc>
        <w:tc>
          <w:tcPr>
            <w:tcW w:w="27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B80D96E" w14:textId="77777777" w:rsidR="00F33511" w:rsidRDefault="008C1E03">
            <w:pPr>
              <w:widowControl w:val="0"/>
              <w:spacing w:line="331" w:lineRule="auto"/>
              <w:jc w:val="center"/>
              <w:rPr>
                <w:sz w:val="20"/>
                <w:szCs w:val="20"/>
              </w:rPr>
            </w:pPr>
            <w:r>
              <w:rPr>
                <w:sz w:val="20"/>
                <w:szCs w:val="20"/>
              </w:rPr>
              <w:t>Attitudes</w:t>
            </w:r>
          </w:p>
        </w:tc>
      </w:tr>
      <w:tr w:rsidR="00F33511" w14:paraId="7F76D1EE" w14:textId="77777777">
        <w:trPr>
          <w:trHeight w:val="1590"/>
        </w:trPr>
        <w:tc>
          <w:tcPr>
            <w:tcW w:w="30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0D634DE" w14:textId="77777777" w:rsidR="00F33511" w:rsidRDefault="008C1E03">
            <w:pPr>
              <w:widowControl w:val="0"/>
              <w:rPr>
                <w:sz w:val="20"/>
                <w:szCs w:val="20"/>
              </w:rPr>
            </w:pPr>
            <w:r>
              <w:rPr>
                <w:sz w:val="20"/>
                <w:szCs w:val="20"/>
              </w:rPr>
              <w:t>-Critique personal, local and professional enforcement of colonial priorities across cultural boundaries</w:t>
            </w:r>
          </w:p>
          <w:p w14:paraId="24B6F54D" w14:textId="77777777" w:rsidR="00F33511" w:rsidRDefault="008C1E03">
            <w:pPr>
              <w:widowControl w:val="0"/>
              <w:rPr>
                <w:sz w:val="20"/>
                <w:szCs w:val="20"/>
              </w:rPr>
            </w:pPr>
            <w:r>
              <w:rPr>
                <w:sz w:val="20"/>
                <w:szCs w:val="20"/>
              </w:rPr>
              <w:t>-Defend Indigenous legal and social authority in the consultation process</w:t>
            </w:r>
          </w:p>
          <w:p w14:paraId="19ED5DD9" w14:textId="77777777" w:rsidR="00F33511" w:rsidRDefault="008C1E03">
            <w:pPr>
              <w:widowControl w:val="0"/>
              <w:rPr>
                <w:sz w:val="20"/>
                <w:szCs w:val="20"/>
              </w:rPr>
            </w:pPr>
            <w:r>
              <w:rPr>
                <w:sz w:val="20"/>
                <w:szCs w:val="20"/>
              </w:rPr>
              <w:t>-Produce a strategy to champion Indigenous values and knowledge in an engineering project (purpose, preparations, research and knowledge gaps)</w:t>
            </w:r>
          </w:p>
        </w:tc>
        <w:tc>
          <w:tcPr>
            <w:tcW w:w="35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35FD43" w14:textId="77777777" w:rsidR="00F33511" w:rsidRDefault="008C1E03">
            <w:pPr>
              <w:widowControl w:val="0"/>
              <w:rPr>
                <w:sz w:val="20"/>
                <w:szCs w:val="20"/>
              </w:rPr>
            </w:pPr>
            <w:r>
              <w:rPr>
                <w:sz w:val="20"/>
                <w:szCs w:val="20"/>
              </w:rPr>
              <w:t xml:space="preserve">-Use the </w:t>
            </w:r>
            <w:proofErr w:type="spellStart"/>
            <w:r>
              <w:rPr>
                <w:sz w:val="20"/>
                <w:szCs w:val="20"/>
              </w:rPr>
              <w:t>The</w:t>
            </w:r>
            <w:proofErr w:type="spellEnd"/>
            <w:r>
              <w:rPr>
                <w:sz w:val="20"/>
                <w:szCs w:val="20"/>
              </w:rPr>
              <w:t xml:space="preserve"> Aboriginal and Treaty Rights Information System (ATRIS) system to access local consultation considerations.</w:t>
            </w:r>
          </w:p>
          <w:p w14:paraId="2C41CC5B" w14:textId="77777777" w:rsidR="00F33511" w:rsidRDefault="008C1E03">
            <w:pPr>
              <w:widowControl w:val="0"/>
              <w:rPr>
                <w:sz w:val="20"/>
                <w:szCs w:val="20"/>
              </w:rPr>
            </w:pPr>
            <w:r>
              <w:rPr>
                <w:sz w:val="20"/>
                <w:szCs w:val="20"/>
              </w:rPr>
              <w:t>-Articulate the connection between personal, communal and professional values</w:t>
            </w:r>
          </w:p>
          <w:p w14:paraId="734990CD" w14:textId="77777777" w:rsidR="00F33511" w:rsidRDefault="008C1E03">
            <w:pPr>
              <w:widowControl w:val="0"/>
              <w:rPr>
                <w:sz w:val="20"/>
                <w:szCs w:val="20"/>
              </w:rPr>
            </w:pPr>
            <w:r>
              <w:rPr>
                <w:sz w:val="20"/>
                <w:szCs w:val="20"/>
              </w:rPr>
              <w:t>-Identify intercultural knowledge gaps</w:t>
            </w:r>
          </w:p>
        </w:tc>
        <w:tc>
          <w:tcPr>
            <w:tcW w:w="27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8450F31" w14:textId="77777777" w:rsidR="00F33511" w:rsidRDefault="008C1E03">
            <w:pPr>
              <w:widowControl w:val="0"/>
              <w:rPr>
                <w:sz w:val="20"/>
                <w:szCs w:val="20"/>
              </w:rPr>
            </w:pPr>
            <w:r>
              <w:rPr>
                <w:sz w:val="20"/>
                <w:szCs w:val="20"/>
              </w:rPr>
              <w:t>-Relate engineering practice to its local context through the practice of epistemic equality</w:t>
            </w:r>
          </w:p>
          <w:p w14:paraId="3C64BB6B" w14:textId="77777777" w:rsidR="00F33511" w:rsidRDefault="008C1E03">
            <w:pPr>
              <w:widowControl w:val="0"/>
              <w:rPr>
                <w:sz w:val="20"/>
                <w:szCs w:val="20"/>
              </w:rPr>
            </w:pPr>
            <w:r>
              <w:rPr>
                <w:sz w:val="20"/>
                <w:szCs w:val="20"/>
              </w:rPr>
              <w:t>-Act transparently when outlining the purpose and knowledge gaps when creating a knowledge strategy document</w:t>
            </w:r>
          </w:p>
        </w:tc>
      </w:tr>
    </w:tbl>
    <w:p w14:paraId="0C60A468" w14:textId="77777777" w:rsidR="00F33511" w:rsidRDefault="00F33511"/>
    <w:p w14:paraId="728FD084" w14:textId="77777777" w:rsidR="00F33511" w:rsidRDefault="008C1E03">
      <w:pPr>
        <w:rPr>
          <w:b/>
          <w:i/>
        </w:rPr>
      </w:pPr>
      <w:r>
        <w:rPr>
          <w:b/>
          <w:i/>
        </w:rPr>
        <w:t>Assignment Deliverable</w:t>
      </w:r>
    </w:p>
    <w:p w14:paraId="123F54A3" w14:textId="77777777" w:rsidR="00F33511" w:rsidRDefault="008C1E03">
      <w:r>
        <w:t>The deliverable for this assignment is a PDF document containing your responses to the self-reflection section followed by the three page knowledge strategy. See the details below.</w:t>
      </w:r>
    </w:p>
    <w:p w14:paraId="229EAE49" w14:textId="77777777" w:rsidR="00F33511" w:rsidRDefault="00F33511">
      <w:pPr>
        <w:rPr>
          <w:b/>
        </w:rPr>
      </w:pPr>
    </w:p>
    <w:p w14:paraId="3C90DB6B" w14:textId="77777777" w:rsidR="00F33511" w:rsidRDefault="008C1E03">
      <w:pPr>
        <w:rPr>
          <w:b/>
          <w:i/>
        </w:rPr>
      </w:pPr>
      <w:r>
        <w:rPr>
          <w:b/>
          <w:i/>
        </w:rPr>
        <w:t>Self-Reflection:</w:t>
      </w:r>
    </w:p>
    <w:p w14:paraId="1C3E7ADB" w14:textId="77777777" w:rsidR="00F33511" w:rsidRDefault="008C1E03">
      <w:pPr>
        <w:numPr>
          <w:ilvl w:val="0"/>
          <w:numId w:val="5"/>
        </w:numPr>
      </w:pPr>
      <w:r>
        <w:t xml:space="preserve">Consider the value scales </w:t>
      </w:r>
      <w:proofErr w:type="spellStart"/>
      <w:r>
        <w:t>i</w:t>
      </w:r>
      <w:proofErr w:type="spellEnd"/>
      <w:r>
        <w:t>), ii) and iii) below. Mark a symbol along the each of the sliding scales, with proximity to one side denoting increased importance to that value or trait:</w:t>
      </w:r>
    </w:p>
    <w:p w14:paraId="23FBD503" w14:textId="77777777" w:rsidR="00F33511" w:rsidRDefault="00F33511">
      <w:pPr>
        <w:ind w:left="720"/>
      </w:pPr>
    </w:p>
    <w:p w14:paraId="0F27A970" w14:textId="77777777" w:rsidR="00F33511" w:rsidRDefault="008C1E03">
      <w:pPr>
        <w:numPr>
          <w:ilvl w:val="1"/>
          <w:numId w:val="5"/>
        </w:numPr>
      </w:pPr>
      <w:r>
        <w:t>What value is more important to you? Please mark the importance with an x</w:t>
      </w:r>
    </w:p>
    <w:p w14:paraId="7F9BDCE4" w14:textId="77777777" w:rsidR="00F33511" w:rsidRDefault="008C1E03">
      <w:pPr>
        <w:numPr>
          <w:ilvl w:val="1"/>
          <w:numId w:val="5"/>
        </w:numPr>
      </w:pPr>
      <w:r>
        <w:lastRenderedPageBreak/>
        <w:t xml:space="preserve">What value do you believe is more important to the people in your local community (town or city)? Please mark the importance with a circle </w:t>
      </w:r>
    </w:p>
    <w:p w14:paraId="1976014E" w14:textId="77777777" w:rsidR="00F33511" w:rsidRDefault="008C1E03">
      <w:pPr>
        <w:numPr>
          <w:ilvl w:val="1"/>
          <w:numId w:val="5"/>
        </w:numPr>
      </w:pPr>
      <w:r>
        <w:t>What value do you believe is more important to professional engineers in British Columbia? Please mark the importance with a triangle</w:t>
      </w:r>
    </w:p>
    <w:p w14:paraId="5F1CC528" w14:textId="77777777" w:rsidR="00F33511" w:rsidRDefault="008C1E03">
      <w:pPr>
        <w:numPr>
          <w:ilvl w:val="1"/>
          <w:numId w:val="5"/>
        </w:numPr>
      </w:pPr>
      <w:r>
        <w:t>Optional: Compare your responses for b) and c) with a classmate. If your responses are different, discuss how your interpretation of local and professional ways of knowing affect your decision making.</w:t>
      </w:r>
    </w:p>
    <w:p w14:paraId="6DC475BB" w14:textId="77777777" w:rsidR="00F33511" w:rsidRDefault="00F33511"/>
    <w:tbl>
      <w:tblPr>
        <w:tblStyle w:val="a0"/>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875"/>
        <w:gridCol w:w="4935"/>
        <w:gridCol w:w="2160"/>
      </w:tblGrid>
      <w:tr w:rsidR="00F33511" w14:paraId="01750DF9" w14:textId="77777777">
        <w:tc>
          <w:tcPr>
            <w:tcW w:w="555" w:type="dxa"/>
            <w:tcBorders>
              <w:top w:val="nil"/>
              <w:left w:val="nil"/>
              <w:bottom w:val="nil"/>
              <w:right w:val="nil"/>
            </w:tcBorders>
            <w:shd w:val="clear" w:color="auto" w:fill="auto"/>
            <w:tcMar>
              <w:top w:w="100" w:type="dxa"/>
              <w:left w:w="100" w:type="dxa"/>
              <w:bottom w:w="100" w:type="dxa"/>
              <w:right w:w="100" w:type="dxa"/>
            </w:tcMar>
          </w:tcPr>
          <w:p w14:paraId="24E57DD9" w14:textId="77777777" w:rsidR="00F33511" w:rsidRDefault="008C1E03">
            <w:pPr>
              <w:widowControl w:val="0"/>
              <w:pBdr>
                <w:top w:val="nil"/>
                <w:left w:val="nil"/>
                <w:bottom w:val="nil"/>
                <w:right w:val="nil"/>
                <w:between w:val="nil"/>
              </w:pBdr>
              <w:spacing w:line="240" w:lineRule="auto"/>
            </w:pPr>
            <w:proofErr w:type="spellStart"/>
            <w:r>
              <w:t>eg</w:t>
            </w:r>
            <w:proofErr w:type="spellEnd"/>
            <w:r>
              <w:t>)</w:t>
            </w:r>
          </w:p>
        </w:tc>
        <w:tc>
          <w:tcPr>
            <w:tcW w:w="1875" w:type="dxa"/>
            <w:tcBorders>
              <w:top w:val="nil"/>
              <w:left w:val="nil"/>
              <w:bottom w:val="nil"/>
              <w:right w:val="nil"/>
            </w:tcBorders>
            <w:shd w:val="clear" w:color="auto" w:fill="auto"/>
            <w:tcMar>
              <w:top w:w="100" w:type="dxa"/>
              <w:left w:w="100" w:type="dxa"/>
              <w:bottom w:w="100" w:type="dxa"/>
              <w:right w:w="100" w:type="dxa"/>
            </w:tcMar>
          </w:tcPr>
          <w:p w14:paraId="1319AB80" w14:textId="77777777" w:rsidR="00F33511" w:rsidRDefault="008C1E03">
            <w:pPr>
              <w:widowControl w:val="0"/>
              <w:spacing w:line="240" w:lineRule="auto"/>
              <w:rPr>
                <w:b/>
              </w:rPr>
            </w:pPr>
            <w:r>
              <w:rPr>
                <w:b/>
              </w:rPr>
              <w:t>Straightforward</w:t>
            </w:r>
          </w:p>
          <w:p w14:paraId="5AD513C8" w14:textId="77777777" w:rsidR="00F33511" w:rsidRDefault="008C1E03">
            <w:pPr>
              <w:widowControl w:val="0"/>
              <w:spacing w:line="240" w:lineRule="auto"/>
            </w:pPr>
            <w:r>
              <w:t>Being direct and outspoken</w:t>
            </w:r>
          </w:p>
        </w:tc>
        <w:tc>
          <w:tcPr>
            <w:tcW w:w="4935" w:type="dxa"/>
            <w:tcBorders>
              <w:top w:val="nil"/>
              <w:left w:val="nil"/>
              <w:bottom w:val="nil"/>
              <w:right w:val="nil"/>
            </w:tcBorders>
            <w:shd w:val="clear" w:color="auto" w:fill="auto"/>
            <w:tcMar>
              <w:top w:w="100" w:type="dxa"/>
              <w:left w:w="100" w:type="dxa"/>
              <w:bottom w:w="100" w:type="dxa"/>
              <w:right w:w="100" w:type="dxa"/>
            </w:tcMar>
          </w:tcPr>
          <w:p w14:paraId="3B64C808" w14:textId="77777777" w:rsidR="00F33511" w:rsidRDefault="00F33511">
            <w:pPr>
              <w:widowControl w:val="0"/>
              <w:spacing w:line="240" w:lineRule="auto"/>
            </w:pPr>
          </w:p>
          <w:p w14:paraId="245AB5B9" w14:textId="77777777" w:rsidR="00F33511" w:rsidRDefault="008C1E03">
            <w:pPr>
              <w:widowControl w:val="0"/>
              <w:spacing w:line="240" w:lineRule="auto"/>
            </w:pPr>
            <w:r>
              <w:rPr>
                <w:noProof/>
                <w:lang w:val="en-US"/>
              </w:rPr>
              <mc:AlternateContent>
                <mc:Choice Requires="wpg">
                  <w:drawing>
                    <wp:inline distT="114300" distB="114300" distL="114300" distR="114300" wp14:anchorId="2946D8B0" wp14:editId="1DF391A2">
                      <wp:extent cx="3162300" cy="252413"/>
                      <wp:effectExtent l="0" t="0" r="0" b="0"/>
                      <wp:docPr id="1" name="Group 1"/>
                      <wp:cNvGraphicFramePr/>
                      <a:graphic xmlns:a="http://schemas.openxmlformats.org/drawingml/2006/main">
                        <a:graphicData uri="http://schemas.microsoft.com/office/word/2010/wordprocessingGroup">
                          <wpg:wgp>
                            <wpg:cNvGrpSpPr/>
                            <wpg:grpSpPr>
                              <a:xfrm>
                                <a:off x="0" y="0"/>
                                <a:ext cx="3162300" cy="252413"/>
                                <a:chOff x="1704775" y="3418950"/>
                                <a:chExt cx="4782600" cy="477300"/>
                              </a:xfrm>
                            </wpg:grpSpPr>
                            <wps:wsp>
                              <wps:cNvPr id="2" name="Multiplication Sign 2"/>
                              <wps:cNvSpPr/>
                              <wps:spPr>
                                <a:xfrm>
                                  <a:off x="5386725" y="3418950"/>
                                  <a:ext cx="477300" cy="477300"/>
                                </a:xfrm>
                                <a:prstGeom prst="mathMultiply">
                                  <a:avLst>
                                    <a:gd name="adj1" fmla="val 23520"/>
                                  </a:avLst>
                                </a:prstGeom>
                                <a:solidFill>
                                  <a:srgbClr val="000000"/>
                                </a:solidFill>
                                <a:ln w="9525" cap="flat" cmpd="sng">
                                  <a:solidFill>
                                    <a:srgbClr val="000000"/>
                                  </a:solidFill>
                                  <a:prstDash val="solid"/>
                                  <a:round/>
                                  <a:headEnd type="none" w="sm" len="sm"/>
                                  <a:tailEnd type="none" w="sm" len="sm"/>
                                </a:ln>
                              </wps:spPr>
                              <wps:txbx>
                                <w:txbxContent>
                                  <w:p w14:paraId="7F51B3EB" w14:textId="77777777" w:rsidR="00F33511" w:rsidRDefault="00F33511">
                                    <w:pPr>
                                      <w:spacing w:line="240" w:lineRule="auto"/>
                                      <w:textDirection w:val="btLr"/>
                                    </w:pPr>
                                  </w:p>
                                </w:txbxContent>
                              </wps:txbx>
                              <wps:bodyPr spcFirstLastPara="1" wrap="square" lIns="91425" tIns="91425" rIns="91425" bIns="91425" anchor="ctr" anchorCtr="0">
                                <a:noAutofit/>
                              </wps:bodyPr>
                            </wps:wsp>
                            <wps:wsp>
                              <wps:cNvPr id="3" name="Oval 3"/>
                              <wps:cNvSpPr/>
                              <wps:spPr>
                                <a:xfrm>
                                  <a:off x="4876800" y="3516450"/>
                                  <a:ext cx="292200" cy="282300"/>
                                </a:xfrm>
                                <a:prstGeom prst="ellipse">
                                  <a:avLst/>
                                </a:prstGeom>
                                <a:noFill/>
                                <a:ln w="76200" cap="flat" cmpd="sng">
                                  <a:solidFill>
                                    <a:srgbClr val="000000"/>
                                  </a:solidFill>
                                  <a:prstDash val="solid"/>
                                  <a:round/>
                                  <a:headEnd type="none" w="sm" len="sm"/>
                                  <a:tailEnd type="none" w="sm" len="sm"/>
                                </a:ln>
                              </wps:spPr>
                              <wps:txbx>
                                <w:txbxContent>
                                  <w:p w14:paraId="7887E5DF" w14:textId="77777777" w:rsidR="00F33511" w:rsidRDefault="00F33511">
                                    <w:pPr>
                                      <w:spacing w:line="240" w:lineRule="auto"/>
                                      <w:textDirection w:val="btLr"/>
                                    </w:pPr>
                                  </w:p>
                                </w:txbxContent>
                              </wps:txbx>
                              <wps:bodyPr spcFirstLastPara="1" wrap="square" lIns="91425" tIns="91425" rIns="91425" bIns="91425" anchor="ctr" anchorCtr="0">
                                <a:noAutofit/>
                              </wps:bodyPr>
                            </wps:wsp>
                            <wps:wsp>
                              <wps:cNvPr id="4" name="Isosceles Triangle 4"/>
                              <wps:cNvSpPr/>
                              <wps:spPr>
                                <a:xfrm>
                                  <a:off x="2306575" y="3550500"/>
                                  <a:ext cx="331200" cy="214200"/>
                                </a:xfrm>
                                <a:prstGeom prst="triangle">
                                  <a:avLst>
                                    <a:gd name="adj" fmla="val 50000"/>
                                  </a:avLst>
                                </a:prstGeom>
                                <a:noFill/>
                                <a:ln w="76200" cap="flat" cmpd="sng">
                                  <a:solidFill>
                                    <a:srgbClr val="000000"/>
                                  </a:solidFill>
                                  <a:prstDash val="solid"/>
                                  <a:round/>
                                  <a:headEnd type="none" w="sm" len="sm"/>
                                  <a:tailEnd type="none" w="sm" len="sm"/>
                                </a:ln>
                              </wps:spPr>
                              <wps:txbx>
                                <w:txbxContent>
                                  <w:p w14:paraId="2F334BC4" w14:textId="77777777" w:rsidR="00F33511" w:rsidRDefault="00F33511">
                                    <w:pPr>
                                      <w:spacing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a:off x="1704775" y="3652650"/>
                                  <a:ext cx="4782600" cy="99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162300" cy="252413"/>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162300" cy="252413"/>
                              </a:xfrm>
                              <a:prstGeom prst="rect"/>
                              <a:ln/>
                            </pic:spPr>
                          </pic:pic>
                        </a:graphicData>
                      </a:graphic>
                    </wp:inline>
                  </w:drawing>
                </mc:Fallback>
              </mc:AlternateContent>
            </w:r>
          </w:p>
        </w:tc>
        <w:tc>
          <w:tcPr>
            <w:tcW w:w="2160" w:type="dxa"/>
            <w:tcBorders>
              <w:top w:val="nil"/>
              <w:left w:val="nil"/>
              <w:bottom w:val="nil"/>
              <w:right w:val="nil"/>
            </w:tcBorders>
            <w:shd w:val="clear" w:color="auto" w:fill="auto"/>
            <w:tcMar>
              <w:top w:w="100" w:type="dxa"/>
              <w:left w:w="100" w:type="dxa"/>
              <w:bottom w:w="100" w:type="dxa"/>
              <w:right w:w="100" w:type="dxa"/>
            </w:tcMar>
          </w:tcPr>
          <w:p w14:paraId="46FA3361" w14:textId="77777777" w:rsidR="00F33511" w:rsidRDefault="008C1E03">
            <w:pPr>
              <w:widowControl w:val="0"/>
              <w:spacing w:line="240" w:lineRule="auto"/>
              <w:rPr>
                <w:b/>
              </w:rPr>
            </w:pPr>
            <w:r>
              <w:rPr>
                <w:b/>
              </w:rPr>
              <w:t>Tactful</w:t>
            </w:r>
          </w:p>
          <w:p w14:paraId="0791DA6C" w14:textId="77777777" w:rsidR="00F33511" w:rsidRDefault="008C1E03">
            <w:pPr>
              <w:widowControl w:val="0"/>
              <w:spacing w:line="240" w:lineRule="auto"/>
            </w:pPr>
            <w:r>
              <w:t>Consideration in dealing with others and avoiding giving offense</w:t>
            </w:r>
          </w:p>
        </w:tc>
      </w:tr>
      <w:tr w:rsidR="00F33511" w14:paraId="36A02E81" w14:textId="77777777">
        <w:tc>
          <w:tcPr>
            <w:tcW w:w="555" w:type="dxa"/>
            <w:tcBorders>
              <w:top w:val="nil"/>
              <w:left w:val="nil"/>
              <w:bottom w:val="nil"/>
              <w:right w:val="nil"/>
            </w:tcBorders>
            <w:shd w:val="clear" w:color="auto" w:fill="auto"/>
            <w:tcMar>
              <w:top w:w="100" w:type="dxa"/>
              <w:left w:w="100" w:type="dxa"/>
              <w:bottom w:w="100" w:type="dxa"/>
              <w:right w:w="100" w:type="dxa"/>
            </w:tcMar>
          </w:tcPr>
          <w:p w14:paraId="02A5A76F" w14:textId="77777777" w:rsidR="00F33511" w:rsidRDefault="008C1E03">
            <w:pPr>
              <w:widowControl w:val="0"/>
              <w:pBdr>
                <w:top w:val="nil"/>
                <w:left w:val="nil"/>
                <w:bottom w:val="nil"/>
                <w:right w:val="nil"/>
                <w:between w:val="nil"/>
              </w:pBdr>
              <w:spacing w:line="240" w:lineRule="auto"/>
            </w:pPr>
            <w:proofErr w:type="spellStart"/>
            <w:r>
              <w:t>i</w:t>
            </w:r>
            <w:proofErr w:type="spellEnd"/>
            <w:r>
              <w:t>)</w:t>
            </w:r>
          </w:p>
        </w:tc>
        <w:tc>
          <w:tcPr>
            <w:tcW w:w="1875" w:type="dxa"/>
            <w:tcBorders>
              <w:top w:val="nil"/>
              <w:left w:val="nil"/>
              <w:bottom w:val="nil"/>
              <w:right w:val="nil"/>
            </w:tcBorders>
            <w:shd w:val="clear" w:color="auto" w:fill="auto"/>
            <w:tcMar>
              <w:top w:w="100" w:type="dxa"/>
              <w:left w:w="100" w:type="dxa"/>
              <w:bottom w:w="100" w:type="dxa"/>
              <w:right w:w="100" w:type="dxa"/>
            </w:tcMar>
          </w:tcPr>
          <w:p w14:paraId="2814F39E" w14:textId="77777777" w:rsidR="00F33511" w:rsidRDefault="008C1E03">
            <w:pPr>
              <w:widowControl w:val="0"/>
              <w:pBdr>
                <w:top w:val="nil"/>
                <w:left w:val="nil"/>
                <w:bottom w:val="nil"/>
                <w:right w:val="nil"/>
                <w:between w:val="nil"/>
              </w:pBdr>
              <w:spacing w:line="240" w:lineRule="auto"/>
              <w:rPr>
                <w:b/>
              </w:rPr>
            </w:pPr>
            <w:r>
              <w:rPr>
                <w:b/>
              </w:rPr>
              <w:t>Community</w:t>
            </w:r>
          </w:p>
          <w:p w14:paraId="46D2AC68" w14:textId="77777777" w:rsidR="00F33511" w:rsidRDefault="008C1E03">
            <w:pPr>
              <w:widowControl w:val="0"/>
              <w:pBdr>
                <w:top w:val="nil"/>
                <w:left w:val="nil"/>
                <w:bottom w:val="nil"/>
                <w:right w:val="nil"/>
                <w:between w:val="nil"/>
              </w:pBdr>
              <w:spacing w:line="240" w:lineRule="auto"/>
            </w:pPr>
            <w:r>
              <w:t>The quality of your social support network</w:t>
            </w:r>
          </w:p>
        </w:tc>
        <w:tc>
          <w:tcPr>
            <w:tcW w:w="4935" w:type="dxa"/>
            <w:tcBorders>
              <w:top w:val="nil"/>
              <w:left w:val="nil"/>
              <w:bottom w:val="nil"/>
              <w:right w:val="nil"/>
            </w:tcBorders>
            <w:shd w:val="clear" w:color="auto" w:fill="auto"/>
            <w:tcMar>
              <w:top w:w="100" w:type="dxa"/>
              <w:left w:w="100" w:type="dxa"/>
              <w:bottom w:w="100" w:type="dxa"/>
              <w:right w:w="100" w:type="dxa"/>
            </w:tcMar>
          </w:tcPr>
          <w:p w14:paraId="1B2CDF39" w14:textId="77777777" w:rsidR="00F33511" w:rsidRDefault="00F33511">
            <w:pPr>
              <w:widowControl w:val="0"/>
              <w:pBdr>
                <w:top w:val="nil"/>
                <w:left w:val="nil"/>
                <w:bottom w:val="nil"/>
                <w:right w:val="nil"/>
                <w:between w:val="nil"/>
              </w:pBdr>
              <w:spacing w:line="240" w:lineRule="auto"/>
            </w:pPr>
          </w:p>
          <w:p w14:paraId="237C49CD" w14:textId="77777777" w:rsidR="00F33511" w:rsidRDefault="005637CA">
            <w:pPr>
              <w:widowControl w:val="0"/>
              <w:pBdr>
                <w:top w:val="nil"/>
                <w:left w:val="nil"/>
                <w:bottom w:val="nil"/>
                <w:right w:val="nil"/>
                <w:between w:val="nil"/>
              </w:pBdr>
              <w:spacing w:line="240" w:lineRule="auto"/>
            </w:pPr>
            <w:r>
              <w:pict w14:anchorId="2426C873">
                <v:rect id="_x0000_i1025" style="width:0;height:1.5pt" o:hralign="center" o:hrstd="t" o:hr="t" fillcolor="#a0a0a0" stroked="f"/>
              </w:pict>
            </w:r>
          </w:p>
          <w:p w14:paraId="72280ADF" w14:textId="77777777" w:rsidR="00F33511" w:rsidRDefault="00F33511">
            <w:pPr>
              <w:widowControl w:val="0"/>
              <w:pBdr>
                <w:top w:val="nil"/>
                <w:left w:val="nil"/>
                <w:bottom w:val="nil"/>
                <w:right w:val="nil"/>
                <w:between w:val="nil"/>
              </w:pBdr>
              <w:spacing w:line="240" w:lineRule="auto"/>
            </w:pPr>
          </w:p>
        </w:tc>
        <w:tc>
          <w:tcPr>
            <w:tcW w:w="2160" w:type="dxa"/>
            <w:tcBorders>
              <w:top w:val="nil"/>
              <w:left w:val="nil"/>
              <w:bottom w:val="nil"/>
              <w:right w:val="nil"/>
            </w:tcBorders>
            <w:shd w:val="clear" w:color="auto" w:fill="auto"/>
            <w:tcMar>
              <w:top w:w="100" w:type="dxa"/>
              <w:left w:w="100" w:type="dxa"/>
              <w:bottom w:w="100" w:type="dxa"/>
              <w:right w:w="100" w:type="dxa"/>
            </w:tcMar>
          </w:tcPr>
          <w:p w14:paraId="0535FF35" w14:textId="77777777" w:rsidR="00F33511" w:rsidRDefault="008C1E03">
            <w:pPr>
              <w:widowControl w:val="0"/>
              <w:pBdr>
                <w:top w:val="nil"/>
                <w:left w:val="nil"/>
                <w:bottom w:val="nil"/>
                <w:right w:val="nil"/>
                <w:between w:val="nil"/>
              </w:pBdr>
              <w:spacing w:line="240" w:lineRule="auto"/>
              <w:rPr>
                <w:b/>
              </w:rPr>
            </w:pPr>
            <w:r>
              <w:rPr>
                <w:b/>
              </w:rPr>
              <w:t>Education</w:t>
            </w:r>
          </w:p>
          <w:p w14:paraId="038C40D7" w14:textId="77777777" w:rsidR="00F33511" w:rsidRDefault="008C1E03">
            <w:pPr>
              <w:widowControl w:val="0"/>
              <w:pBdr>
                <w:top w:val="nil"/>
                <w:left w:val="nil"/>
                <w:bottom w:val="nil"/>
                <w:right w:val="nil"/>
                <w:between w:val="nil"/>
              </w:pBdr>
              <w:spacing w:line="240" w:lineRule="auto"/>
            </w:pPr>
            <w:r>
              <w:t>Your education and what you get out of it</w:t>
            </w:r>
          </w:p>
        </w:tc>
      </w:tr>
      <w:tr w:rsidR="00F33511" w14:paraId="3ACAAF01" w14:textId="77777777">
        <w:tc>
          <w:tcPr>
            <w:tcW w:w="555" w:type="dxa"/>
            <w:tcBorders>
              <w:top w:val="nil"/>
              <w:left w:val="nil"/>
              <w:bottom w:val="nil"/>
              <w:right w:val="nil"/>
            </w:tcBorders>
            <w:shd w:val="clear" w:color="auto" w:fill="auto"/>
            <w:tcMar>
              <w:top w:w="100" w:type="dxa"/>
              <w:left w:w="100" w:type="dxa"/>
              <w:bottom w:w="100" w:type="dxa"/>
              <w:right w:w="100" w:type="dxa"/>
            </w:tcMar>
          </w:tcPr>
          <w:p w14:paraId="3A24DFC2" w14:textId="77777777" w:rsidR="00F33511" w:rsidRDefault="008C1E03">
            <w:pPr>
              <w:widowControl w:val="0"/>
              <w:pBdr>
                <w:top w:val="nil"/>
                <w:left w:val="nil"/>
                <w:bottom w:val="nil"/>
                <w:right w:val="nil"/>
                <w:between w:val="nil"/>
              </w:pBdr>
              <w:spacing w:line="240" w:lineRule="auto"/>
            </w:pPr>
            <w:r>
              <w:t>ii)</w:t>
            </w:r>
          </w:p>
        </w:tc>
        <w:tc>
          <w:tcPr>
            <w:tcW w:w="1875" w:type="dxa"/>
            <w:tcBorders>
              <w:top w:val="nil"/>
              <w:left w:val="nil"/>
              <w:bottom w:val="nil"/>
              <w:right w:val="nil"/>
            </w:tcBorders>
            <w:shd w:val="clear" w:color="auto" w:fill="auto"/>
            <w:tcMar>
              <w:top w:w="100" w:type="dxa"/>
              <w:left w:w="100" w:type="dxa"/>
              <w:bottom w:w="100" w:type="dxa"/>
              <w:right w:w="100" w:type="dxa"/>
            </w:tcMar>
          </w:tcPr>
          <w:p w14:paraId="33A8E799" w14:textId="77777777" w:rsidR="00F33511" w:rsidRDefault="008C1E03">
            <w:pPr>
              <w:widowControl w:val="0"/>
              <w:pBdr>
                <w:top w:val="nil"/>
                <w:left w:val="nil"/>
                <w:bottom w:val="nil"/>
                <w:right w:val="nil"/>
                <w:between w:val="nil"/>
              </w:pBdr>
              <w:spacing w:line="240" w:lineRule="auto"/>
              <w:rPr>
                <w:b/>
              </w:rPr>
            </w:pPr>
            <w:r>
              <w:rPr>
                <w:b/>
              </w:rPr>
              <w:t>Protection of the environment</w:t>
            </w:r>
          </w:p>
          <w:p w14:paraId="71C9B56A" w14:textId="77777777" w:rsidR="00F33511" w:rsidRDefault="008C1E03">
            <w:pPr>
              <w:widowControl w:val="0"/>
              <w:pBdr>
                <w:top w:val="nil"/>
                <w:left w:val="nil"/>
                <w:bottom w:val="nil"/>
                <w:right w:val="nil"/>
                <w:between w:val="nil"/>
              </w:pBdr>
              <w:spacing w:line="240" w:lineRule="auto"/>
            </w:pPr>
            <w:r>
              <w:t>Conservation and stewardship toward nature at large</w:t>
            </w:r>
          </w:p>
        </w:tc>
        <w:tc>
          <w:tcPr>
            <w:tcW w:w="4935" w:type="dxa"/>
            <w:tcBorders>
              <w:top w:val="nil"/>
              <w:left w:val="nil"/>
              <w:bottom w:val="nil"/>
              <w:right w:val="nil"/>
            </w:tcBorders>
            <w:shd w:val="clear" w:color="auto" w:fill="auto"/>
            <w:tcMar>
              <w:top w:w="100" w:type="dxa"/>
              <w:left w:w="100" w:type="dxa"/>
              <w:bottom w:w="100" w:type="dxa"/>
              <w:right w:w="100" w:type="dxa"/>
            </w:tcMar>
          </w:tcPr>
          <w:p w14:paraId="6241A5BB" w14:textId="77777777" w:rsidR="00F33511" w:rsidRDefault="00F33511">
            <w:pPr>
              <w:widowControl w:val="0"/>
              <w:pBdr>
                <w:top w:val="nil"/>
                <w:left w:val="nil"/>
                <w:bottom w:val="nil"/>
                <w:right w:val="nil"/>
                <w:between w:val="nil"/>
              </w:pBdr>
              <w:spacing w:line="240" w:lineRule="auto"/>
            </w:pPr>
          </w:p>
          <w:p w14:paraId="0B7FEB73" w14:textId="77777777" w:rsidR="00F33511" w:rsidRDefault="00F33511">
            <w:pPr>
              <w:widowControl w:val="0"/>
              <w:pBdr>
                <w:top w:val="nil"/>
                <w:left w:val="nil"/>
                <w:bottom w:val="nil"/>
                <w:right w:val="nil"/>
                <w:between w:val="nil"/>
              </w:pBdr>
              <w:spacing w:line="240" w:lineRule="auto"/>
            </w:pPr>
          </w:p>
          <w:p w14:paraId="45785F90" w14:textId="77777777" w:rsidR="00F33511" w:rsidRDefault="005637CA">
            <w:pPr>
              <w:widowControl w:val="0"/>
              <w:pBdr>
                <w:top w:val="nil"/>
                <w:left w:val="nil"/>
                <w:bottom w:val="nil"/>
                <w:right w:val="nil"/>
                <w:between w:val="nil"/>
              </w:pBdr>
              <w:spacing w:line="240" w:lineRule="auto"/>
            </w:pPr>
            <w:r>
              <w:pict w14:anchorId="7EE49A06">
                <v:rect id="_x0000_i1026" style="width:0;height:1.5pt" o:hralign="center" o:hrstd="t" o:hr="t" fillcolor="#a0a0a0" stroked="f"/>
              </w:pict>
            </w:r>
          </w:p>
          <w:p w14:paraId="35F6E769" w14:textId="77777777" w:rsidR="00F33511" w:rsidRDefault="00F33511">
            <w:pPr>
              <w:widowControl w:val="0"/>
              <w:pBdr>
                <w:top w:val="nil"/>
                <w:left w:val="nil"/>
                <w:bottom w:val="nil"/>
                <w:right w:val="nil"/>
                <w:between w:val="nil"/>
              </w:pBdr>
              <w:spacing w:line="240" w:lineRule="auto"/>
            </w:pPr>
          </w:p>
        </w:tc>
        <w:tc>
          <w:tcPr>
            <w:tcW w:w="2160" w:type="dxa"/>
            <w:tcBorders>
              <w:top w:val="nil"/>
              <w:left w:val="nil"/>
              <w:bottom w:val="nil"/>
              <w:right w:val="nil"/>
            </w:tcBorders>
            <w:shd w:val="clear" w:color="auto" w:fill="auto"/>
            <w:tcMar>
              <w:top w:w="100" w:type="dxa"/>
              <w:left w:w="100" w:type="dxa"/>
              <w:bottom w:w="100" w:type="dxa"/>
              <w:right w:w="100" w:type="dxa"/>
            </w:tcMar>
          </w:tcPr>
          <w:p w14:paraId="5C1887A7" w14:textId="77777777" w:rsidR="00F33511" w:rsidRDefault="008C1E03">
            <w:pPr>
              <w:widowControl w:val="0"/>
              <w:pBdr>
                <w:top w:val="nil"/>
                <w:left w:val="nil"/>
                <w:bottom w:val="nil"/>
                <w:right w:val="nil"/>
                <w:between w:val="nil"/>
              </w:pBdr>
              <w:spacing w:line="240" w:lineRule="auto"/>
              <w:rPr>
                <w:b/>
              </w:rPr>
            </w:pPr>
            <w:r>
              <w:rPr>
                <w:b/>
              </w:rPr>
              <w:t>Health and Safety</w:t>
            </w:r>
          </w:p>
          <w:p w14:paraId="3418E9B6" w14:textId="77777777" w:rsidR="00F33511" w:rsidRDefault="008C1E03">
            <w:pPr>
              <w:widowControl w:val="0"/>
              <w:pBdr>
                <w:top w:val="nil"/>
                <w:left w:val="nil"/>
                <w:bottom w:val="nil"/>
                <w:right w:val="nil"/>
                <w:between w:val="nil"/>
              </w:pBdr>
              <w:spacing w:line="240" w:lineRule="auto"/>
            </w:pPr>
            <w:r>
              <w:t>Conservation and stewardship of personal health</w:t>
            </w:r>
          </w:p>
        </w:tc>
      </w:tr>
      <w:tr w:rsidR="00F33511" w14:paraId="3A424957" w14:textId="77777777">
        <w:trPr>
          <w:trHeight w:val="1140"/>
        </w:trPr>
        <w:tc>
          <w:tcPr>
            <w:tcW w:w="555" w:type="dxa"/>
            <w:tcBorders>
              <w:top w:val="nil"/>
              <w:left w:val="nil"/>
              <w:bottom w:val="nil"/>
              <w:right w:val="nil"/>
            </w:tcBorders>
            <w:shd w:val="clear" w:color="auto" w:fill="auto"/>
            <w:tcMar>
              <w:top w:w="100" w:type="dxa"/>
              <w:left w:w="100" w:type="dxa"/>
              <w:bottom w:w="100" w:type="dxa"/>
              <w:right w:w="100" w:type="dxa"/>
            </w:tcMar>
          </w:tcPr>
          <w:p w14:paraId="0CA88292" w14:textId="77777777" w:rsidR="00F33511" w:rsidRDefault="008C1E03">
            <w:pPr>
              <w:widowControl w:val="0"/>
              <w:pBdr>
                <w:top w:val="nil"/>
                <w:left w:val="nil"/>
                <w:bottom w:val="nil"/>
                <w:right w:val="nil"/>
                <w:between w:val="nil"/>
              </w:pBdr>
              <w:spacing w:line="240" w:lineRule="auto"/>
            </w:pPr>
            <w:r>
              <w:t>iii)</w:t>
            </w:r>
          </w:p>
        </w:tc>
        <w:tc>
          <w:tcPr>
            <w:tcW w:w="1875" w:type="dxa"/>
            <w:tcBorders>
              <w:top w:val="nil"/>
              <w:left w:val="nil"/>
              <w:bottom w:val="nil"/>
              <w:right w:val="nil"/>
            </w:tcBorders>
            <w:shd w:val="clear" w:color="auto" w:fill="auto"/>
            <w:tcMar>
              <w:top w:w="100" w:type="dxa"/>
              <w:left w:w="100" w:type="dxa"/>
              <w:bottom w:w="100" w:type="dxa"/>
              <w:right w:w="100" w:type="dxa"/>
            </w:tcMar>
          </w:tcPr>
          <w:p w14:paraId="37A5E046" w14:textId="77777777" w:rsidR="00F33511" w:rsidRDefault="008C1E03">
            <w:pPr>
              <w:widowControl w:val="0"/>
              <w:pBdr>
                <w:top w:val="nil"/>
                <w:left w:val="nil"/>
                <w:bottom w:val="nil"/>
                <w:right w:val="nil"/>
                <w:between w:val="nil"/>
              </w:pBdr>
              <w:spacing w:line="240" w:lineRule="auto"/>
              <w:rPr>
                <w:b/>
              </w:rPr>
            </w:pPr>
            <w:r>
              <w:rPr>
                <w:b/>
              </w:rPr>
              <w:t>Meritocracy</w:t>
            </w:r>
          </w:p>
          <w:p w14:paraId="7199B0F9" w14:textId="77777777" w:rsidR="00F33511" w:rsidRDefault="008C1E03">
            <w:pPr>
              <w:widowControl w:val="0"/>
              <w:pBdr>
                <w:top w:val="nil"/>
                <w:left w:val="nil"/>
                <w:bottom w:val="nil"/>
                <w:right w:val="nil"/>
                <w:between w:val="nil"/>
              </w:pBdr>
              <w:spacing w:line="240" w:lineRule="auto"/>
            </w:pPr>
            <w:r>
              <w:t>Opportunity for those who are deserving</w:t>
            </w:r>
          </w:p>
          <w:p w14:paraId="30272E9A" w14:textId="77777777" w:rsidR="00F33511" w:rsidRDefault="00F33511">
            <w:pPr>
              <w:widowControl w:val="0"/>
              <w:pBdr>
                <w:top w:val="nil"/>
                <w:left w:val="nil"/>
                <w:bottom w:val="nil"/>
                <w:right w:val="nil"/>
                <w:between w:val="nil"/>
              </w:pBdr>
              <w:spacing w:line="240" w:lineRule="auto"/>
            </w:pPr>
          </w:p>
        </w:tc>
        <w:tc>
          <w:tcPr>
            <w:tcW w:w="4935" w:type="dxa"/>
            <w:tcBorders>
              <w:top w:val="nil"/>
              <w:left w:val="nil"/>
              <w:bottom w:val="nil"/>
              <w:right w:val="nil"/>
            </w:tcBorders>
            <w:shd w:val="clear" w:color="auto" w:fill="auto"/>
            <w:tcMar>
              <w:top w:w="100" w:type="dxa"/>
              <w:left w:w="100" w:type="dxa"/>
              <w:bottom w:w="100" w:type="dxa"/>
              <w:right w:w="100" w:type="dxa"/>
            </w:tcMar>
          </w:tcPr>
          <w:p w14:paraId="6A33A462" w14:textId="77777777" w:rsidR="00F33511" w:rsidRDefault="00F33511">
            <w:pPr>
              <w:widowControl w:val="0"/>
              <w:pBdr>
                <w:top w:val="nil"/>
                <w:left w:val="nil"/>
                <w:bottom w:val="nil"/>
                <w:right w:val="nil"/>
                <w:between w:val="nil"/>
              </w:pBdr>
              <w:spacing w:line="240" w:lineRule="auto"/>
            </w:pPr>
          </w:p>
          <w:p w14:paraId="5A3626A8" w14:textId="77777777" w:rsidR="00F33511" w:rsidRDefault="005637CA">
            <w:pPr>
              <w:widowControl w:val="0"/>
              <w:pBdr>
                <w:top w:val="nil"/>
                <w:left w:val="nil"/>
                <w:bottom w:val="nil"/>
                <w:right w:val="nil"/>
                <w:between w:val="nil"/>
              </w:pBdr>
              <w:spacing w:line="240" w:lineRule="auto"/>
            </w:pPr>
            <w:r>
              <w:pict w14:anchorId="22F5C581">
                <v:rect id="_x0000_i1027" style="width:0;height:1.5pt" o:hralign="center" o:hrstd="t" o:hr="t" fillcolor="#a0a0a0" stroked="f"/>
              </w:pict>
            </w:r>
          </w:p>
          <w:p w14:paraId="6A75D9D0" w14:textId="77777777" w:rsidR="00F33511" w:rsidRDefault="00F33511">
            <w:pPr>
              <w:widowControl w:val="0"/>
              <w:pBdr>
                <w:top w:val="nil"/>
                <w:left w:val="nil"/>
                <w:bottom w:val="nil"/>
                <w:right w:val="nil"/>
                <w:between w:val="nil"/>
              </w:pBdr>
              <w:spacing w:line="240" w:lineRule="auto"/>
            </w:pPr>
          </w:p>
        </w:tc>
        <w:tc>
          <w:tcPr>
            <w:tcW w:w="2160" w:type="dxa"/>
            <w:tcBorders>
              <w:top w:val="nil"/>
              <w:left w:val="nil"/>
              <w:bottom w:val="nil"/>
              <w:right w:val="nil"/>
            </w:tcBorders>
            <w:shd w:val="clear" w:color="auto" w:fill="auto"/>
            <w:tcMar>
              <w:top w:w="100" w:type="dxa"/>
              <w:left w:w="100" w:type="dxa"/>
              <w:bottom w:w="100" w:type="dxa"/>
              <w:right w:w="100" w:type="dxa"/>
            </w:tcMar>
          </w:tcPr>
          <w:p w14:paraId="4631F826" w14:textId="77777777" w:rsidR="00F33511" w:rsidRDefault="008C1E03">
            <w:pPr>
              <w:widowControl w:val="0"/>
              <w:pBdr>
                <w:top w:val="nil"/>
                <w:left w:val="nil"/>
                <w:bottom w:val="nil"/>
                <w:right w:val="nil"/>
                <w:between w:val="nil"/>
              </w:pBdr>
              <w:spacing w:line="240" w:lineRule="auto"/>
              <w:rPr>
                <w:b/>
              </w:rPr>
            </w:pPr>
            <w:r>
              <w:rPr>
                <w:b/>
              </w:rPr>
              <w:t>Democracy</w:t>
            </w:r>
          </w:p>
          <w:p w14:paraId="06099FC0" w14:textId="77777777" w:rsidR="00F33511" w:rsidRDefault="008C1E03">
            <w:pPr>
              <w:widowControl w:val="0"/>
              <w:pBdr>
                <w:top w:val="nil"/>
                <w:left w:val="nil"/>
                <w:bottom w:val="nil"/>
                <w:right w:val="nil"/>
                <w:between w:val="nil"/>
              </w:pBdr>
              <w:spacing w:line="240" w:lineRule="auto"/>
            </w:pPr>
            <w:r>
              <w:t>Opportunity for all</w:t>
            </w:r>
          </w:p>
        </w:tc>
      </w:tr>
    </w:tbl>
    <w:p w14:paraId="1C04581D" w14:textId="77777777" w:rsidR="00F33511" w:rsidRDefault="008C1E03">
      <w:pPr>
        <w:numPr>
          <w:ilvl w:val="0"/>
          <w:numId w:val="5"/>
        </w:numPr>
      </w:pPr>
      <w:r>
        <w:t>Answer the following questions, each in less than three sentences:</w:t>
      </w:r>
    </w:p>
    <w:p w14:paraId="6DB50B47" w14:textId="77777777" w:rsidR="00F33511" w:rsidRDefault="008C1E03">
      <w:pPr>
        <w:numPr>
          <w:ilvl w:val="1"/>
          <w:numId w:val="5"/>
        </w:numPr>
      </w:pPr>
      <w:r>
        <w:t>Is a particular value priority universally self-evident? For example, can you empirically justify valuing community over education?</w:t>
      </w:r>
    </w:p>
    <w:p w14:paraId="557E8C37" w14:textId="77777777" w:rsidR="00F33511" w:rsidRDefault="008C1E03">
      <w:pPr>
        <w:numPr>
          <w:ilvl w:val="1"/>
          <w:numId w:val="5"/>
        </w:numPr>
      </w:pPr>
      <w:r>
        <w:t xml:space="preserve">Have you ever experienced “culture shock” when integrating into a group with different values? How was the transition? For example, during integration into UBC’s academic culture. </w:t>
      </w:r>
    </w:p>
    <w:p w14:paraId="72D609B2" w14:textId="77777777" w:rsidR="00F33511" w:rsidRDefault="008C1E03">
      <w:pPr>
        <w:numPr>
          <w:ilvl w:val="1"/>
          <w:numId w:val="5"/>
        </w:numPr>
      </w:pPr>
      <w:r>
        <w:t>How can an engineer understand and incorporate appropriate local values in their work?</w:t>
      </w:r>
    </w:p>
    <w:p w14:paraId="183EEB33" w14:textId="77777777" w:rsidR="00F33511" w:rsidRDefault="00F33511">
      <w:pPr>
        <w:ind w:left="1440"/>
      </w:pPr>
    </w:p>
    <w:p w14:paraId="40D1CEFB" w14:textId="77777777" w:rsidR="00F33511" w:rsidRDefault="008C1E03">
      <w:pPr>
        <w:rPr>
          <w:b/>
          <w:i/>
        </w:rPr>
      </w:pPr>
      <w:r>
        <w:rPr>
          <w:b/>
          <w:i/>
        </w:rPr>
        <w:t>Knowledge Strategy Writing</w:t>
      </w:r>
    </w:p>
    <w:p w14:paraId="4BFE49A7" w14:textId="336E9DB6" w:rsidR="00F33511" w:rsidRDefault="008C1E03">
      <w:r>
        <w:t>Draft a 3 page (12 pt. font, double spaced</w:t>
      </w:r>
      <w:r w:rsidR="00F0702D">
        <w:t>) knowledge</w:t>
      </w:r>
      <w:r>
        <w:t xml:space="preserve"> strategy for an Indigenous community or business local to your project. Compilation of this information will provide you with the baseline understanding of community necessary to begin respectful engagement. The knowledge strategy will include the following sections:</w:t>
      </w:r>
    </w:p>
    <w:p w14:paraId="755C56AB" w14:textId="77777777" w:rsidR="00F33511" w:rsidRDefault="00F33511"/>
    <w:p w14:paraId="7275D781" w14:textId="77777777" w:rsidR="00F33511" w:rsidRDefault="008C1E03">
      <w:proofErr w:type="spellStart"/>
      <w:r>
        <w:rPr>
          <w:b/>
        </w:rPr>
        <w:lastRenderedPageBreak/>
        <w:t>i</w:t>
      </w:r>
      <w:proofErr w:type="spellEnd"/>
      <w:r>
        <w:rPr>
          <w:b/>
        </w:rPr>
        <w:t xml:space="preserve">) Purpose: </w:t>
      </w:r>
      <w:r>
        <w:t>What do you want to achieve with the people, businesses or communities you want to engage?</w:t>
      </w:r>
    </w:p>
    <w:p w14:paraId="2DD95398" w14:textId="77777777" w:rsidR="00F33511" w:rsidRDefault="00F33511"/>
    <w:p w14:paraId="0568BF12" w14:textId="77777777" w:rsidR="00F33511" w:rsidRDefault="008C1E03">
      <w:r>
        <w:rPr>
          <w:b/>
        </w:rPr>
        <w:t xml:space="preserve">ii) Preparations: </w:t>
      </w:r>
      <w:r>
        <w:t>What does your group/business need to do in order to get ready for these engagements and relationships? What group values are important to highlight and discuss during your first meeting?</w:t>
      </w:r>
    </w:p>
    <w:p w14:paraId="1E76C8A4" w14:textId="77777777" w:rsidR="00F33511" w:rsidRDefault="00F33511"/>
    <w:p w14:paraId="4DFC10C5" w14:textId="77777777" w:rsidR="00F33511" w:rsidRDefault="008C1E03">
      <w:r>
        <w:rPr>
          <w:b/>
        </w:rPr>
        <w:t xml:space="preserve">iii) Research: </w:t>
      </w:r>
      <w:r>
        <w:t xml:space="preserve">Acquire some background knowledge of </w:t>
      </w:r>
      <w:r>
        <w:rPr>
          <w:b/>
        </w:rPr>
        <w:t>three features</w:t>
      </w:r>
      <w:r>
        <w:t xml:space="preserve"> of the community or business, such as</w:t>
      </w:r>
    </w:p>
    <w:p w14:paraId="5A1C438F" w14:textId="77777777" w:rsidR="00F33511" w:rsidRDefault="008C1E03">
      <w:pPr>
        <w:numPr>
          <w:ilvl w:val="0"/>
          <w:numId w:val="1"/>
        </w:numPr>
      </w:pPr>
      <w:r>
        <w:t>Community History</w:t>
      </w:r>
    </w:p>
    <w:p w14:paraId="0958B7AB" w14:textId="77777777" w:rsidR="00F33511" w:rsidRDefault="008C1E03">
      <w:pPr>
        <w:numPr>
          <w:ilvl w:val="0"/>
          <w:numId w:val="1"/>
        </w:numPr>
      </w:pPr>
      <w:r>
        <w:t>Community Profiles &amp; Statistics</w:t>
      </w:r>
    </w:p>
    <w:p w14:paraId="2B8AD21F" w14:textId="77777777" w:rsidR="00F33511" w:rsidRDefault="008C1E03">
      <w:pPr>
        <w:numPr>
          <w:ilvl w:val="0"/>
          <w:numId w:val="1"/>
        </w:numPr>
      </w:pPr>
      <w:r>
        <w:t>Traditional activities (fishing, hunting and gathering)</w:t>
      </w:r>
    </w:p>
    <w:p w14:paraId="07ABAF2E" w14:textId="77777777" w:rsidR="00F33511" w:rsidRDefault="008C1E03">
      <w:pPr>
        <w:numPr>
          <w:ilvl w:val="0"/>
          <w:numId w:val="1"/>
        </w:numPr>
      </w:pPr>
      <w:r>
        <w:t>Spiritual practices</w:t>
      </w:r>
    </w:p>
    <w:p w14:paraId="606C28DD" w14:textId="77777777" w:rsidR="00F33511" w:rsidRDefault="008C1E03">
      <w:pPr>
        <w:numPr>
          <w:ilvl w:val="0"/>
          <w:numId w:val="1"/>
        </w:numPr>
      </w:pPr>
      <w:r>
        <w:t>Governance (tribal affiliations, hereditary leaders, band council)</w:t>
      </w:r>
    </w:p>
    <w:p w14:paraId="3068861F" w14:textId="77777777" w:rsidR="00F33511" w:rsidRDefault="008C1E03">
      <w:pPr>
        <w:numPr>
          <w:ilvl w:val="0"/>
          <w:numId w:val="1"/>
        </w:numPr>
      </w:pPr>
      <w:r>
        <w:t>Community priorities</w:t>
      </w:r>
    </w:p>
    <w:p w14:paraId="34EE12F4" w14:textId="77777777" w:rsidR="00F33511" w:rsidRDefault="008C1E03">
      <w:pPr>
        <w:numPr>
          <w:ilvl w:val="0"/>
          <w:numId w:val="1"/>
        </w:numPr>
      </w:pPr>
      <w:r>
        <w:t>Ways of knowing</w:t>
      </w:r>
    </w:p>
    <w:p w14:paraId="2C59DD41" w14:textId="77777777" w:rsidR="00F33511" w:rsidRDefault="00F33511"/>
    <w:p w14:paraId="0E89CC73" w14:textId="77777777" w:rsidR="00F33511" w:rsidRDefault="008C1E03">
      <w:r>
        <w:rPr>
          <w:b/>
        </w:rPr>
        <w:t xml:space="preserve">iv) Knowledge gaps: </w:t>
      </w:r>
      <w:r>
        <w:t xml:space="preserve">Prepare at least </w:t>
      </w:r>
      <w:r>
        <w:rPr>
          <w:b/>
        </w:rPr>
        <w:t>five questions</w:t>
      </w:r>
      <w:r>
        <w:t xml:space="preserve"> to ask a community representative, to strengthen</w:t>
      </w:r>
    </w:p>
    <w:p w14:paraId="57751657" w14:textId="77777777" w:rsidR="00F33511" w:rsidRDefault="008C1E03">
      <w:pPr>
        <w:numPr>
          <w:ilvl w:val="0"/>
          <w:numId w:val="4"/>
        </w:numPr>
      </w:pPr>
      <w:r>
        <w:t>intercultural dialogue and engagement</w:t>
      </w:r>
    </w:p>
    <w:p w14:paraId="41E6FB25" w14:textId="77777777" w:rsidR="00F33511" w:rsidRDefault="008C1E03">
      <w:pPr>
        <w:numPr>
          <w:ilvl w:val="0"/>
          <w:numId w:val="3"/>
        </w:numPr>
      </w:pPr>
      <w:r>
        <w:t>understanding of social context including understanding the community’s values and ways of conducting business</w:t>
      </w:r>
    </w:p>
    <w:p w14:paraId="553D97BA" w14:textId="77777777" w:rsidR="00F33511" w:rsidRDefault="008C1E03">
      <w:pPr>
        <w:numPr>
          <w:ilvl w:val="0"/>
          <w:numId w:val="3"/>
        </w:numPr>
      </w:pPr>
      <w:r>
        <w:t>your group’s ability to design while considering social impact</w:t>
      </w:r>
    </w:p>
    <w:p w14:paraId="36F299E1" w14:textId="77777777" w:rsidR="00F33511" w:rsidRDefault="00F33511"/>
    <w:p w14:paraId="14062861" w14:textId="77777777" w:rsidR="00F33511" w:rsidRDefault="008C1E03">
      <w:pPr>
        <w:rPr>
          <w:b/>
          <w:i/>
        </w:rPr>
      </w:pPr>
      <w:r>
        <w:rPr>
          <w:b/>
          <w:i/>
        </w:rPr>
        <w:t>Guiding questions for success</w:t>
      </w:r>
    </w:p>
    <w:p w14:paraId="4B47CA55" w14:textId="77777777" w:rsidR="00F33511" w:rsidRDefault="008C1E03">
      <w:pPr>
        <w:numPr>
          <w:ilvl w:val="0"/>
          <w:numId w:val="2"/>
        </w:numPr>
      </w:pPr>
      <w:r>
        <w:t>How does knowledge strategy development relate to the assignment learning outcomes?</w:t>
      </w:r>
    </w:p>
    <w:p w14:paraId="1C2A0875" w14:textId="77777777" w:rsidR="00F33511" w:rsidRDefault="008C1E03">
      <w:pPr>
        <w:numPr>
          <w:ilvl w:val="0"/>
          <w:numId w:val="2"/>
        </w:numPr>
      </w:pPr>
      <w:r>
        <w:t>Are you aware of your personal, local and professional values, and how they guide your decision making process?</w:t>
      </w:r>
    </w:p>
    <w:p w14:paraId="1393215C" w14:textId="77777777" w:rsidR="00F33511" w:rsidRDefault="008C1E03">
      <w:pPr>
        <w:numPr>
          <w:ilvl w:val="0"/>
          <w:numId w:val="2"/>
        </w:numPr>
      </w:pPr>
      <w:r>
        <w:t>What important knowledge are you missing in your community research? How would you plan on gathering that information in a full-scale engineering project?</w:t>
      </w:r>
    </w:p>
    <w:p w14:paraId="0E738A63" w14:textId="77777777" w:rsidR="00F33511" w:rsidRDefault="00F33511"/>
    <w:p w14:paraId="0190A1C7" w14:textId="77777777" w:rsidR="00F33511" w:rsidRDefault="008C1E03">
      <w:r>
        <w:rPr>
          <w:b/>
          <w:i/>
        </w:rPr>
        <w:t xml:space="preserve">Useful Research Resources </w:t>
      </w:r>
    </w:p>
    <w:p w14:paraId="249B1068" w14:textId="77777777" w:rsidR="00F33511" w:rsidRDefault="008C1E03">
      <w:r>
        <w:t>The following links may be useful to begin your research:</w:t>
      </w:r>
    </w:p>
    <w:p w14:paraId="6BD139B3" w14:textId="77777777" w:rsidR="00F33511" w:rsidRDefault="00F33511"/>
    <w:p w14:paraId="549F7E27" w14:textId="77777777" w:rsidR="00F33511" w:rsidRDefault="008C1E03">
      <w:r>
        <w:t xml:space="preserve">Treaty Information: </w:t>
      </w:r>
      <w:hyperlink r:id="rId7">
        <w:r>
          <w:rPr>
            <w:color w:val="1155CC"/>
            <w:u w:val="single"/>
          </w:rPr>
          <w:t>Aboriginal and Treaty Rights Information System</w:t>
        </w:r>
      </w:hyperlink>
    </w:p>
    <w:p w14:paraId="05B7729E" w14:textId="77777777" w:rsidR="00F33511" w:rsidRDefault="008C1E03">
      <w:r>
        <w:t xml:space="preserve">First Nations Profiles: </w:t>
      </w:r>
      <w:hyperlink r:id="rId8">
        <w:r>
          <w:rPr>
            <w:color w:val="1155CC"/>
            <w:u w:val="single"/>
          </w:rPr>
          <w:t>First Nation Profiles Interactive Map</w:t>
        </w:r>
      </w:hyperlink>
    </w:p>
    <w:p w14:paraId="69B4BFB5" w14:textId="77777777" w:rsidR="00F33511" w:rsidRDefault="008C1E03">
      <w:r>
        <w:t xml:space="preserve">Indigenous Self-Government: </w:t>
      </w:r>
      <w:hyperlink r:id="rId9">
        <w:r>
          <w:rPr>
            <w:color w:val="1155CC"/>
            <w:u w:val="single"/>
          </w:rPr>
          <w:t>Self-Government Overview</w:t>
        </w:r>
      </w:hyperlink>
    </w:p>
    <w:p w14:paraId="562B7851" w14:textId="77777777" w:rsidR="00F33511" w:rsidRDefault="008C1E03">
      <w:r>
        <w:t xml:space="preserve">Territory maps according to Indigenous nations themselves: </w:t>
      </w:r>
      <w:hyperlink r:id="rId10">
        <w:r>
          <w:rPr>
            <w:color w:val="1155CC"/>
            <w:u w:val="single"/>
          </w:rPr>
          <w:t>Native Land</w:t>
        </w:r>
      </w:hyperlink>
    </w:p>
    <w:p w14:paraId="5CB3950A" w14:textId="77777777" w:rsidR="00F33511" w:rsidRDefault="008C1E03">
      <w:r>
        <w:t xml:space="preserve">Indigenous Languages Dictionary: </w:t>
      </w:r>
      <w:hyperlink r:id="rId11">
        <w:r>
          <w:rPr>
            <w:color w:val="1155CC"/>
            <w:u w:val="single"/>
          </w:rPr>
          <w:t>First Voices</w:t>
        </w:r>
      </w:hyperlink>
    </w:p>
    <w:p w14:paraId="706983C3" w14:textId="77777777" w:rsidR="00F33511" w:rsidRDefault="008C1E03">
      <w:r>
        <w:t xml:space="preserve">Engagement Process: </w:t>
      </w:r>
      <w:hyperlink r:id="rId12">
        <w:r>
          <w:rPr>
            <w:color w:val="1155CC"/>
            <w:u w:val="single"/>
          </w:rPr>
          <w:t>Canadian Construction Association Indigenous Engagement Guide</w:t>
        </w:r>
      </w:hyperlink>
    </w:p>
    <w:p w14:paraId="1AF0B598" w14:textId="77777777" w:rsidR="00F33511" w:rsidRDefault="008C1E03">
      <w:r>
        <w:t xml:space="preserve">Indigenous Businesses in Canada: </w:t>
      </w:r>
      <w:hyperlink r:id="rId13">
        <w:r>
          <w:rPr>
            <w:color w:val="1155CC"/>
            <w:u w:val="single"/>
          </w:rPr>
          <w:t>Indigenous Business Guide</w:t>
        </w:r>
      </w:hyperlink>
    </w:p>
    <w:p w14:paraId="1F735579" w14:textId="77777777" w:rsidR="00F33511" w:rsidRDefault="00F33511"/>
    <w:p w14:paraId="26A2C0DA" w14:textId="6F62EE37" w:rsidR="00F33511" w:rsidRDefault="008C1E03">
      <w:r>
        <w:lastRenderedPageBreak/>
        <w:t xml:space="preserve">These resources should be supplemented with community specific sources as well, such as community websites and </w:t>
      </w:r>
      <w:r w:rsidR="0098488F">
        <w:t>colleagues who have worked with or consulted with</w:t>
      </w:r>
      <w:r>
        <w:t xml:space="preserve"> communities in the area.</w:t>
      </w:r>
    </w:p>
    <w:p w14:paraId="74523BD3" w14:textId="77777777" w:rsidR="00F33511" w:rsidRDefault="00F33511"/>
    <w:p w14:paraId="11CE0FF5" w14:textId="77777777" w:rsidR="00F33511" w:rsidRDefault="00F33511"/>
    <w:sectPr w:rsidR="00F335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A78C4"/>
    <w:multiLevelType w:val="multilevel"/>
    <w:tmpl w:val="7DE05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F37422"/>
    <w:multiLevelType w:val="multilevel"/>
    <w:tmpl w:val="FFD2A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05439C"/>
    <w:multiLevelType w:val="multilevel"/>
    <w:tmpl w:val="0CB00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9F4860"/>
    <w:multiLevelType w:val="multilevel"/>
    <w:tmpl w:val="9A66C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583AA4"/>
    <w:multiLevelType w:val="multilevel"/>
    <w:tmpl w:val="CA92E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345601">
    <w:abstractNumId w:val="1"/>
  </w:num>
  <w:num w:numId="2" w16cid:durableId="598875574">
    <w:abstractNumId w:val="0"/>
  </w:num>
  <w:num w:numId="3" w16cid:durableId="398136498">
    <w:abstractNumId w:val="3"/>
  </w:num>
  <w:num w:numId="4" w16cid:durableId="251284100">
    <w:abstractNumId w:val="2"/>
  </w:num>
  <w:num w:numId="5" w16cid:durableId="1234001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11"/>
    <w:rsid w:val="005637CA"/>
    <w:rsid w:val="008C1E03"/>
    <w:rsid w:val="0098488F"/>
    <w:rsid w:val="00F0702D"/>
    <w:rsid w:val="00F3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66E5"/>
  <w15:docId w15:val="{F2FF6F6B-70BE-4DFD-949F-AFB8B252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eo.aadnc-aandc.gc.ca/cippn-fnpim/index-eng.html" TargetMode="External"/><Relationship Id="rId13" Type="http://schemas.openxmlformats.org/officeDocument/2006/relationships/hyperlink" Target="https://www.sac-isc.gc.ca/REA-IBD/eng/reset" TargetMode="External"/><Relationship Id="rId3" Type="http://schemas.openxmlformats.org/officeDocument/2006/relationships/settings" Target="settings.xml"/><Relationship Id="rId7" Type="http://schemas.openxmlformats.org/officeDocument/2006/relationships/hyperlink" Target="https://www.aadnc-aandc.gc.ca/eng/1100100014686/1100100014687" TargetMode="External"/><Relationship Id="rId12" Type="http://schemas.openxmlformats.org/officeDocument/2006/relationships/hyperlink" Target="https://www.cca-acc.com/wp-content/uploads/2016/03/IndigenousEngagement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irstvoices.com/content/get-started" TargetMode="External"/><Relationship Id="rId15" Type="http://schemas.openxmlformats.org/officeDocument/2006/relationships/theme" Target="theme/theme1.xml"/><Relationship Id="rId10" Type="http://schemas.openxmlformats.org/officeDocument/2006/relationships/hyperlink" Target="https://native-land.ca/" TargetMode="External"/><Relationship Id="rId4" Type="http://schemas.openxmlformats.org/officeDocument/2006/relationships/webSettings" Target="webSettings.xml"/><Relationship Id="rId9" Type="http://schemas.openxmlformats.org/officeDocument/2006/relationships/hyperlink" Target="https://www.rcaanc-cirnac.gc.ca/eng/1100100032275/15293545473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 James</dc:creator>
  <cp:lastModifiedBy>Nika Martinussen</cp:lastModifiedBy>
  <cp:revision>2</cp:revision>
  <dcterms:created xsi:type="dcterms:W3CDTF">2022-05-13T10:44:00Z</dcterms:created>
  <dcterms:modified xsi:type="dcterms:W3CDTF">2022-05-13T10:44:00Z</dcterms:modified>
</cp:coreProperties>
</file>