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6252" w14:textId="77777777" w:rsidR="000662DB" w:rsidRPr="000662DB" w:rsidRDefault="000662DB" w:rsidP="000662DB">
      <w:pPr>
        <w:spacing w:after="0" w:line="240" w:lineRule="auto"/>
        <w:ind w:firstLine="720"/>
        <w:rPr>
          <w:rFonts w:ascii="Calibri" w:eastAsia="Calibri" w:hAnsi="Calibri" w:cs="Times New Roman"/>
          <w:bCs/>
        </w:rPr>
      </w:pPr>
    </w:p>
    <w:tbl>
      <w:tblPr>
        <w:tblStyle w:val="TableGrid1"/>
        <w:tblW w:w="0" w:type="auto"/>
        <w:tblLook w:val="04A0" w:firstRow="1" w:lastRow="0" w:firstColumn="1" w:lastColumn="0" w:noHBand="0" w:noVBand="1"/>
      </w:tblPr>
      <w:tblGrid>
        <w:gridCol w:w="1747"/>
        <w:gridCol w:w="1866"/>
        <w:gridCol w:w="4090"/>
        <w:gridCol w:w="2373"/>
        <w:gridCol w:w="4314"/>
      </w:tblGrid>
      <w:tr w:rsidR="000662DB" w:rsidRPr="000662DB" w14:paraId="4E6B4EAC" w14:textId="77777777" w:rsidTr="000662DB">
        <w:tc>
          <w:tcPr>
            <w:tcW w:w="14616" w:type="dxa"/>
            <w:gridSpan w:val="5"/>
            <w:shd w:val="clear" w:color="auto" w:fill="F2F2F2"/>
          </w:tcPr>
          <w:p w14:paraId="70A6E9FC" w14:textId="77777777" w:rsidR="000662DB" w:rsidRPr="000662DB" w:rsidRDefault="000662DB" w:rsidP="000662DB">
            <w:pPr>
              <w:spacing w:line="0" w:lineRule="atLeast"/>
              <w:ind w:firstLine="0"/>
              <w:jc w:val="both"/>
              <w:rPr>
                <w:rFonts w:ascii="Calibri" w:eastAsia="Calibri" w:hAnsi="Calibri" w:cs="Calibri"/>
                <w:b/>
                <w:sz w:val="20"/>
                <w:szCs w:val="18"/>
              </w:rPr>
            </w:pPr>
            <w:r w:rsidRPr="000662DB">
              <w:rPr>
                <w:rFonts w:ascii="Calibri" w:eastAsia="Calibri" w:hAnsi="Calibri" w:cs="Calibri"/>
                <w:b/>
                <w:sz w:val="20"/>
                <w:szCs w:val="18"/>
              </w:rPr>
              <w:t>Corticosteroid Medications</w:t>
            </w:r>
          </w:p>
        </w:tc>
      </w:tr>
      <w:tr w:rsidR="000662DB" w:rsidRPr="000662DB" w14:paraId="65D6D2AE" w14:textId="77777777" w:rsidTr="001377AA">
        <w:trPr>
          <w:trHeight w:val="1053"/>
        </w:trPr>
        <w:tc>
          <w:tcPr>
            <w:tcW w:w="14616" w:type="dxa"/>
            <w:gridSpan w:val="5"/>
          </w:tcPr>
          <w:p w14:paraId="05B60C82" w14:textId="77777777" w:rsidR="000662DB" w:rsidRPr="000662DB" w:rsidRDefault="000662DB" w:rsidP="000662DB">
            <w:pPr>
              <w:ind w:firstLine="0"/>
              <w:rPr>
                <w:rFonts w:ascii="Calibri" w:eastAsia="Times New Roman" w:hAnsi="Calibri" w:cs="Calibri"/>
                <w:b/>
                <w:sz w:val="20"/>
                <w:szCs w:val="20"/>
              </w:rPr>
            </w:pPr>
            <w:r w:rsidRPr="000662DB">
              <w:rPr>
                <w:rFonts w:ascii="Calibri" w:eastAsia="Times New Roman" w:hAnsi="Calibri" w:cs="Calibri"/>
                <w:b/>
                <w:sz w:val="20"/>
                <w:szCs w:val="20"/>
              </w:rPr>
              <w:t xml:space="preserve">Therapeutic Effects: </w:t>
            </w:r>
          </w:p>
          <w:p w14:paraId="340A798B" w14:textId="77777777" w:rsidR="000662DB" w:rsidRPr="000662DB" w:rsidRDefault="000662DB" w:rsidP="000662DB">
            <w:pPr>
              <w:numPr>
                <w:ilvl w:val="0"/>
                <w:numId w:val="1"/>
              </w:numPr>
              <w:spacing w:line="261" w:lineRule="exac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Corticosteroids are used as replacement therapy in adrenal insufficiency, as well as for the management of various dermatologic, ophthalmologic, rheumatologic, pulmonary, hematologic, and gastrointestinal (GI) disorders. In respiratory conditions, systemic corticosteroids are used for the treatment of acute exacerbations of chronic obstructive pulmonary disease (COPD) and severe asthma. </w:t>
            </w:r>
          </w:p>
          <w:p w14:paraId="10E5AAAE" w14:textId="77777777" w:rsidR="000662DB" w:rsidRPr="000662DB" w:rsidRDefault="000662DB" w:rsidP="000662DB">
            <w:pPr>
              <w:numPr>
                <w:ilvl w:val="0"/>
                <w:numId w:val="1"/>
              </w:numPr>
              <w:spacing w:line="261" w:lineRule="exac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Mineralocorticoids are primarily involved in the regulation of electrolyte and water balance. </w:t>
            </w:r>
          </w:p>
          <w:p w14:paraId="55D19F3D" w14:textId="77777777" w:rsidR="000662DB" w:rsidRPr="000662DB" w:rsidRDefault="000662DB" w:rsidP="000662DB">
            <w:pPr>
              <w:numPr>
                <w:ilvl w:val="0"/>
                <w:numId w:val="1"/>
              </w:numPr>
              <w:spacing w:line="261" w:lineRule="exac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Glucocorticoids are predominantly involved in carbohydrate, fat, and protein metabolism </w:t>
            </w:r>
            <w:proofErr w:type="gramStart"/>
            <w:r w:rsidRPr="000662DB">
              <w:rPr>
                <w:rFonts w:ascii="Calibri" w:eastAsia="Times New Roman" w:hAnsi="Calibri" w:cs="Calibri"/>
                <w:sz w:val="20"/>
                <w:szCs w:val="20"/>
                <w:lang w:val="en-US"/>
              </w:rPr>
              <w:t>and also</w:t>
            </w:r>
            <w:proofErr w:type="gramEnd"/>
            <w:r w:rsidRPr="000662DB">
              <w:rPr>
                <w:rFonts w:ascii="Calibri" w:eastAsia="Times New Roman" w:hAnsi="Calibri" w:cs="Calibri"/>
                <w:sz w:val="20"/>
                <w:szCs w:val="20"/>
                <w:lang w:val="en-US"/>
              </w:rPr>
              <w:t xml:space="preserve"> have anti-inflammatory, immunosuppressive, anti-proliferative, and vasoconstrictive effects.</w:t>
            </w:r>
          </w:p>
        </w:tc>
      </w:tr>
      <w:tr w:rsidR="000662DB" w:rsidRPr="000662DB" w14:paraId="484FBFCA" w14:textId="77777777" w:rsidTr="000662DB">
        <w:tc>
          <w:tcPr>
            <w:tcW w:w="1397" w:type="dxa"/>
            <w:shd w:val="clear" w:color="auto" w:fill="F2F2F2"/>
          </w:tcPr>
          <w:p w14:paraId="7D5D5026"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Class</w:t>
            </w:r>
          </w:p>
        </w:tc>
        <w:tc>
          <w:tcPr>
            <w:tcW w:w="1866" w:type="dxa"/>
            <w:shd w:val="clear" w:color="auto" w:fill="F2F2F2"/>
          </w:tcPr>
          <w:p w14:paraId="7FD8B411"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Prototypes</w:t>
            </w:r>
          </w:p>
        </w:tc>
        <w:tc>
          <w:tcPr>
            <w:tcW w:w="4358" w:type="dxa"/>
            <w:shd w:val="clear" w:color="auto" w:fill="F2F2F2"/>
          </w:tcPr>
          <w:p w14:paraId="3780F087"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Administration Considerations</w:t>
            </w:r>
          </w:p>
        </w:tc>
        <w:tc>
          <w:tcPr>
            <w:tcW w:w="2410" w:type="dxa"/>
            <w:shd w:val="clear" w:color="auto" w:fill="F2F2F2"/>
          </w:tcPr>
          <w:p w14:paraId="68984AB9" w14:textId="77777777"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Therapeutic Effects</w:t>
            </w:r>
          </w:p>
        </w:tc>
        <w:tc>
          <w:tcPr>
            <w:tcW w:w="4585" w:type="dxa"/>
            <w:shd w:val="clear" w:color="auto" w:fill="F2F2F2"/>
          </w:tcPr>
          <w:p w14:paraId="357799B0" w14:textId="77777777"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Adverse/Side Effects</w:t>
            </w:r>
          </w:p>
        </w:tc>
      </w:tr>
      <w:tr w:rsidR="000662DB" w:rsidRPr="000662DB" w14:paraId="6B578D87" w14:textId="77777777" w:rsidTr="001377AA">
        <w:tc>
          <w:tcPr>
            <w:tcW w:w="1397" w:type="dxa"/>
          </w:tcPr>
          <w:p w14:paraId="367D93D5"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Glucocorticoid</w:t>
            </w:r>
          </w:p>
        </w:tc>
        <w:tc>
          <w:tcPr>
            <w:tcW w:w="1866" w:type="dxa"/>
          </w:tcPr>
          <w:p w14:paraId="0A9D17FE"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Prednisone</w:t>
            </w:r>
          </w:p>
          <w:p w14:paraId="47AE14EF" w14:textId="77777777" w:rsidR="000662DB" w:rsidRPr="000662DB" w:rsidRDefault="000662DB" w:rsidP="000662DB">
            <w:pPr>
              <w:tabs>
                <w:tab w:val="left" w:pos="369"/>
              </w:tabs>
              <w:spacing w:line="0" w:lineRule="atLeast"/>
              <w:rPr>
                <w:rFonts w:ascii="Calibri" w:eastAsia="Calibri" w:hAnsi="Calibri" w:cs="Calibri"/>
                <w:sz w:val="20"/>
                <w:szCs w:val="20"/>
              </w:rPr>
            </w:pPr>
          </w:p>
          <w:p w14:paraId="7C65EE5C"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Methylprednisolone</w:t>
            </w:r>
          </w:p>
        </w:tc>
        <w:tc>
          <w:tcPr>
            <w:tcW w:w="4358" w:type="dxa"/>
          </w:tcPr>
          <w:p w14:paraId="6D7641F2"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Never abruptly stop corticosteroid therapy</w:t>
            </w:r>
          </w:p>
          <w:p w14:paraId="6CCCCAEF"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Use the lowest dose possible to control disorder and taper when feasible</w:t>
            </w:r>
          </w:p>
          <w:p w14:paraId="079233EE"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require concurrent treatment for osteoporosis or elevated blood glucose levels</w:t>
            </w:r>
          </w:p>
          <w:p w14:paraId="0EDEE3BE"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Regularly monitor for development of symptoms of adrenal suppression</w:t>
            </w:r>
          </w:p>
          <w:p w14:paraId="17D39EEE"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Contraindicated in patients with untreated systemic</w:t>
            </w:r>
          </w:p>
        </w:tc>
        <w:tc>
          <w:tcPr>
            <w:tcW w:w="2410" w:type="dxa"/>
          </w:tcPr>
          <w:p w14:paraId="2C84DF1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Often used to reduce inflammation or for immunosuppression</w:t>
            </w:r>
          </w:p>
        </w:tc>
        <w:tc>
          <w:tcPr>
            <w:tcW w:w="4585" w:type="dxa"/>
          </w:tcPr>
          <w:p w14:paraId="006E310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Fluid and electrolyte imbalances</w:t>
            </w:r>
          </w:p>
          <w:p w14:paraId="1E5C50B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Increase in blood glucose</w:t>
            </w:r>
          </w:p>
          <w:p w14:paraId="5691F8B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Muscle weakness</w:t>
            </w:r>
          </w:p>
          <w:p w14:paraId="38FE6CB7"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Peptic ulcers</w:t>
            </w:r>
          </w:p>
          <w:p w14:paraId="139D7283"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Thin, fragile skin that bruises easily</w:t>
            </w:r>
          </w:p>
          <w:p w14:paraId="1A3ED0C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Poor wound healing</w:t>
            </w:r>
          </w:p>
          <w:p w14:paraId="76DB2253"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Development of Cushing’s syndrome</w:t>
            </w:r>
          </w:p>
          <w:p w14:paraId="4FC0BC6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mask some signs of infection, and new infections may appear</w:t>
            </w:r>
          </w:p>
          <w:p w14:paraId="30092ED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Psychic derangements may appear when corticosteroids are used, ranging from euphoria, insomnia, mood swings, personality changes to severe depression</w:t>
            </w:r>
          </w:p>
        </w:tc>
      </w:tr>
      <w:tr w:rsidR="000662DB" w:rsidRPr="000662DB" w14:paraId="35D964ED" w14:textId="77777777" w:rsidTr="001377AA">
        <w:tc>
          <w:tcPr>
            <w:tcW w:w="1397" w:type="dxa"/>
          </w:tcPr>
          <w:p w14:paraId="18DD6B8E"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Topical Glucocorticoid</w:t>
            </w:r>
          </w:p>
        </w:tc>
        <w:tc>
          <w:tcPr>
            <w:tcW w:w="1866" w:type="dxa"/>
          </w:tcPr>
          <w:p w14:paraId="0173F5A4"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Hydrocortisone cream</w:t>
            </w:r>
          </w:p>
        </w:tc>
        <w:tc>
          <w:tcPr>
            <w:tcW w:w="4358" w:type="dxa"/>
          </w:tcPr>
          <w:p w14:paraId="58A339E4"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Cream is only for use on the skin. Do not use in eyes</w:t>
            </w:r>
          </w:p>
          <w:p w14:paraId="08F0CB35"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Apply a small amount of medication to cover the affected area of skin with a thin, even film and rub in gently</w:t>
            </w:r>
          </w:p>
          <w:p w14:paraId="18B053FF"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Do not wrap or bandage the treated area unless included in the prescription</w:t>
            </w:r>
          </w:p>
          <w:p w14:paraId="3F9329C4"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Symptoms should begin to improve during the first few days of treatment; do not use this medication longer than 7 days unless directed</w:t>
            </w:r>
          </w:p>
        </w:tc>
        <w:tc>
          <w:tcPr>
            <w:tcW w:w="2410" w:type="dxa"/>
          </w:tcPr>
          <w:p w14:paraId="0BB60CA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Cream: topical relief of itching, redness, and swelling</w:t>
            </w:r>
          </w:p>
        </w:tc>
        <w:tc>
          <w:tcPr>
            <w:tcW w:w="4585" w:type="dxa"/>
          </w:tcPr>
          <w:p w14:paraId="62107BA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burning sensation of skin</w:t>
            </w:r>
          </w:p>
          <w:p w14:paraId="2D654BE1"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folliculitis</w:t>
            </w:r>
          </w:p>
          <w:p w14:paraId="221CBAC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hypopigmentation</w:t>
            </w:r>
          </w:p>
          <w:p w14:paraId="43361512"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maceration of the skin</w:t>
            </w:r>
          </w:p>
          <w:p w14:paraId="0CD336E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dermatitis</w:t>
            </w:r>
          </w:p>
          <w:p w14:paraId="1DEDC37D"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pruritus</w:t>
            </w:r>
          </w:p>
          <w:p w14:paraId="4571532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secondary skin infection</w:t>
            </w:r>
          </w:p>
          <w:p w14:paraId="278FB03F"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skin atrophy</w:t>
            </w:r>
          </w:p>
          <w:p w14:paraId="4E6939C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skin irritation</w:t>
            </w:r>
          </w:p>
        </w:tc>
      </w:tr>
      <w:tr w:rsidR="000662DB" w:rsidRPr="000662DB" w14:paraId="64195238" w14:textId="77777777" w:rsidTr="001377AA">
        <w:tc>
          <w:tcPr>
            <w:tcW w:w="1397" w:type="dxa"/>
          </w:tcPr>
          <w:p w14:paraId="70019A55" w14:textId="30057AA8" w:rsidR="000662DB" w:rsidRPr="000662DB" w:rsidRDefault="000662DB" w:rsidP="000662DB">
            <w:pPr>
              <w:tabs>
                <w:tab w:val="left" w:pos="369"/>
              </w:tabs>
              <w:spacing w:line="0" w:lineRule="atLeast"/>
              <w:ind w:firstLine="0"/>
              <w:rPr>
                <w:rFonts w:ascii="Calibri" w:eastAsia="Calibri" w:hAnsi="Calibri" w:cs="Calibri"/>
                <w:sz w:val="20"/>
                <w:szCs w:val="20"/>
              </w:rPr>
            </w:pPr>
            <w:r>
              <w:rPr>
                <w:rFonts w:ascii="Calibri" w:eastAsia="Calibri" w:hAnsi="Calibri" w:cs="Calibri"/>
                <w:sz w:val="20"/>
                <w:szCs w:val="20"/>
              </w:rPr>
              <w:t>M</w:t>
            </w:r>
            <w:r w:rsidRPr="000662DB">
              <w:rPr>
                <w:rFonts w:ascii="Calibri" w:eastAsia="Calibri" w:hAnsi="Calibri" w:cs="Calibri"/>
                <w:sz w:val="20"/>
                <w:szCs w:val="20"/>
              </w:rPr>
              <w:t>ineralocorticoids</w:t>
            </w:r>
          </w:p>
        </w:tc>
        <w:tc>
          <w:tcPr>
            <w:tcW w:w="1866" w:type="dxa"/>
          </w:tcPr>
          <w:p w14:paraId="088A9E9A"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Fludrocortisone</w:t>
            </w:r>
          </w:p>
        </w:tc>
        <w:tc>
          <w:tcPr>
            <w:tcW w:w="4358" w:type="dxa"/>
          </w:tcPr>
          <w:p w14:paraId="48F326D4"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Often administered in conjunction with cortisone or hydrocortisone</w:t>
            </w:r>
          </w:p>
          <w:p w14:paraId="3325654A"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Contraindicated if systemic fungal infection present</w:t>
            </w:r>
          </w:p>
          <w:p w14:paraId="3CAB8C4B" w14:textId="77777777" w:rsidR="000662DB" w:rsidRPr="000662DB" w:rsidRDefault="000662DB" w:rsidP="000662DB">
            <w:pPr>
              <w:numPr>
                <w:ilvl w:val="0"/>
                <w:numId w:val="1"/>
              </w:numPr>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Continually monitor for signs that indicate dosage adjustment is necessary, such as exacerbations of the disease or stress (surgery, infection, trauma)</w:t>
            </w:r>
          </w:p>
        </w:tc>
        <w:tc>
          <w:tcPr>
            <w:tcW w:w="2410" w:type="dxa"/>
          </w:tcPr>
          <w:p w14:paraId="1C31ECDE"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Aldosterone replacement in Addison’s disease</w:t>
            </w:r>
          </w:p>
        </w:tc>
        <w:tc>
          <w:tcPr>
            <w:tcW w:w="4585" w:type="dxa"/>
          </w:tcPr>
          <w:p w14:paraId="4258CF6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Potential adverse effects from retention of sodium and water: hypertension, edema, cardiac enlargement, congestive heart failure, potassium loss, and hypokalemic alkalosis</w:t>
            </w:r>
          </w:p>
        </w:tc>
      </w:tr>
    </w:tbl>
    <w:p w14:paraId="3A742A33" w14:textId="77777777" w:rsidR="000662DB" w:rsidRPr="000662DB" w:rsidRDefault="000662DB" w:rsidP="000662DB">
      <w:pPr>
        <w:spacing w:after="0" w:line="240" w:lineRule="auto"/>
        <w:ind w:firstLine="720"/>
        <w:rPr>
          <w:rFonts w:ascii="Calibri" w:eastAsia="Calibri" w:hAnsi="Calibri" w:cs="Times New Roman"/>
          <w:bCs/>
        </w:rPr>
      </w:pPr>
    </w:p>
    <w:tbl>
      <w:tblPr>
        <w:tblStyle w:val="TableGrid1"/>
        <w:tblW w:w="0" w:type="auto"/>
        <w:tblLook w:val="04A0" w:firstRow="1" w:lastRow="0" w:firstColumn="1" w:lastColumn="0" w:noHBand="0" w:noVBand="1"/>
      </w:tblPr>
      <w:tblGrid>
        <w:gridCol w:w="1525"/>
        <w:gridCol w:w="2357"/>
        <w:gridCol w:w="2121"/>
        <w:gridCol w:w="3462"/>
        <w:gridCol w:w="3047"/>
        <w:gridCol w:w="1878"/>
      </w:tblGrid>
      <w:tr w:rsidR="000662DB" w:rsidRPr="000662DB" w14:paraId="7BEA7722" w14:textId="77777777" w:rsidTr="000662DB">
        <w:tc>
          <w:tcPr>
            <w:tcW w:w="14616" w:type="dxa"/>
            <w:gridSpan w:val="6"/>
            <w:shd w:val="clear" w:color="auto" w:fill="F2F2F2"/>
          </w:tcPr>
          <w:p w14:paraId="1583CA09" w14:textId="77777777" w:rsidR="000662DB" w:rsidRPr="000662DB" w:rsidRDefault="000662DB" w:rsidP="000662DB">
            <w:pPr>
              <w:spacing w:line="0" w:lineRule="atLeast"/>
              <w:ind w:firstLine="0"/>
              <w:jc w:val="both"/>
              <w:rPr>
                <w:rFonts w:ascii="Calibri" w:eastAsia="Calibri" w:hAnsi="Calibri" w:cs="Calibri"/>
                <w:b/>
                <w:sz w:val="20"/>
                <w:szCs w:val="20"/>
              </w:rPr>
            </w:pPr>
            <w:r w:rsidRPr="000662DB">
              <w:rPr>
                <w:rFonts w:ascii="Calibri" w:eastAsia="Calibri" w:hAnsi="Calibri" w:cs="Calibri"/>
                <w:b/>
                <w:sz w:val="20"/>
                <w:szCs w:val="20"/>
              </w:rPr>
              <w:lastRenderedPageBreak/>
              <w:t xml:space="preserve">Insulins </w:t>
            </w:r>
          </w:p>
        </w:tc>
      </w:tr>
      <w:tr w:rsidR="000662DB" w:rsidRPr="000662DB" w14:paraId="7F957E9B" w14:textId="77777777" w:rsidTr="001377AA">
        <w:trPr>
          <w:trHeight w:val="725"/>
        </w:trPr>
        <w:tc>
          <w:tcPr>
            <w:tcW w:w="14616" w:type="dxa"/>
            <w:gridSpan w:val="6"/>
          </w:tcPr>
          <w:p w14:paraId="6CE95892" w14:textId="77777777" w:rsidR="000662DB" w:rsidRPr="000662DB" w:rsidRDefault="000662DB" w:rsidP="000662DB">
            <w:pPr>
              <w:ind w:firstLine="0"/>
              <w:rPr>
                <w:rFonts w:ascii="Calibri" w:eastAsia="Times New Roman" w:hAnsi="Calibri" w:cs="Calibri"/>
                <w:b/>
                <w:sz w:val="20"/>
                <w:szCs w:val="20"/>
              </w:rPr>
            </w:pPr>
            <w:r w:rsidRPr="000662DB">
              <w:rPr>
                <w:rFonts w:ascii="Calibri" w:eastAsia="Times New Roman" w:hAnsi="Calibri" w:cs="Calibri"/>
                <w:b/>
                <w:sz w:val="20"/>
                <w:szCs w:val="20"/>
              </w:rPr>
              <w:t xml:space="preserve">Therapeutic Effects: </w:t>
            </w:r>
          </w:p>
          <w:p w14:paraId="4EF7D7BE" w14:textId="77777777" w:rsidR="000662DB" w:rsidRPr="000662DB" w:rsidRDefault="000662DB" w:rsidP="000662DB">
            <w:pPr>
              <w:numPr>
                <w:ilvl w:val="0"/>
                <w:numId w:val="2"/>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regulates the movement of glucose from blood into cells</w:t>
            </w:r>
          </w:p>
          <w:p w14:paraId="151C73DC" w14:textId="77777777" w:rsidR="000662DB" w:rsidRPr="000662DB" w:rsidRDefault="000662DB" w:rsidP="000662DB">
            <w:pPr>
              <w:numPr>
                <w:ilvl w:val="0"/>
                <w:numId w:val="2"/>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insulin lowers blood glucose by stimulating peripheral glucose uptake primarily by skeletal muscle cells and fat, and by inhibiting glucose production and release by the liver</w:t>
            </w:r>
          </w:p>
        </w:tc>
      </w:tr>
      <w:tr w:rsidR="000662DB" w:rsidRPr="000662DB" w14:paraId="0BE16739" w14:textId="77777777" w:rsidTr="000662DB">
        <w:tc>
          <w:tcPr>
            <w:tcW w:w="1530" w:type="dxa"/>
            <w:shd w:val="clear" w:color="auto" w:fill="F2F2F2"/>
          </w:tcPr>
          <w:p w14:paraId="25270FA6"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Class</w:t>
            </w:r>
          </w:p>
        </w:tc>
        <w:tc>
          <w:tcPr>
            <w:tcW w:w="2406" w:type="dxa"/>
            <w:shd w:val="clear" w:color="auto" w:fill="F2F2F2"/>
          </w:tcPr>
          <w:p w14:paraId="66901936"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Prototypes</w:t>
            </w:r>
          </w:p>
        </w:tc>
        <w:tc>
          <w:tcPr>
            <w:tcW w:w="2126" w:type="dxa"/>
            <w:shd w:val="clear" w:color="auto" w:fill="F2F2F2"/>
          </w:tcPr>
          <w:p w14:paraId="41241884" w14:textId="5F6FB525"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Onset/Peak/Duration</w:t>
            </w:r>
          </w:p>
        </w:tc>
        <w:tc>
          <w:tcPr>
            <w:tcW w:w="3544" w:type="dxa"/>
            <w:shd w:val="clear" w:color="auto" w:fill="F2F2F2"/>
          </w:tcPr>
          <w:p w14:paraId="20CD4903"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Administration Considerations</w:t>
            </w:r>
          </w:p>
        </w:tc>
        <w:tc>
          <w:tcPr>
            <w:tcW w:w="3118" w:type="dxa"/>
            <w:shd w:val="clear" w:color="auto" w:fill="F2F2F2"/>
          </w:tcPr>
          <w:p w14:paraId="7E76AF62" w14:textId="77777777"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Therapeutic Effects</w:t>
            </w:r>
          </w:p>
        </w:tc>
        <w:tc>
          <w:tcPr>
            <w:tcW w:w="1892" w:type="dxa"/>
            <w:shd w:val="clear" w:color="auto" w:fill="F2F2F2"/>
          </w:tcPr>
          <w:p w14:paraId="2A3344C1" w14:textId="5B852468"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Adverse/Side Effects</w:t>
            </w:r>
          </w:p>
        </w:tc>
      </w:tr>
      <w:tr w:rsidR="000662DB" w:rsidRPr="000662DB" w14:paraId="50A31042" w14:textId="77777777" w:rsidTr="001377AA">
        <w:tc>
          <w:tcPr>
            <w:tcW w:w="1530" w:type="dxa"/>
          </w:tcPr>
          <w:p w14:paraId="6141B7A4"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Rapid-Acting Insulin</w:t>
            </w:r>
          </w:p>
        </w:tc>
        <w:tc>
          <w:tcPr>
            <w:tcW w:w="2406" w:type="dxa"/>
          </w:tcPr>
          <w:p w14:paraId="312F08CA"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insulin lispro (Humalog)</w:t>
            </w:r>
          </w:p>
          <w:p w14:paraId="7470EAAC"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 xml:space="preserve">insulin </w:t>
            </w:r>
            <w:proofErr w:type="spellStart"/>
            <w:r w:rsidRPr="000662DB">
              <w:rPr>
                <w:rFonts w:ascii="Calibri" w:eastAsia="Calibri" w:hAnsi="Calibri" w:cs="Calibri"/>
                <w:sz w:val="20"/>
                <w:szCs w:val="20"/>
              </w:rPr>
              <w:t>aspart</w:t>
            </w:r>
            <w:proofErr w:type="spellEnd"/>
            <w:r w:rsidRPr="000662DB">
              <w:rPr>
                <w:rFonts w:ascii="Calibri" w:eastAsia="Calibri" w:hAnsi="Calibri" w:cs="Calibri"/>
                <w:sz w:val="20"/>
                <w:szCs w:val="20"/>
              </w:rPr>
              <w:t xml:space="preserve"> (Novolog)</w:t>
            </w:r>
          </w:p>
          <w:p w14:paraId="2AE7B8A7"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inhaled insulin (</w:t>
            </w:r>
            <w:proofErr w:type="spellStart"/>
            <w:r w:rsidRPr="000662DB">
              <w:rPr>
                <w:rFonts w:ascii="Calibri" w:eastAsia="Calibri" w:hAnsi="Calibri" w:cs="Calibri"/>
                <w:sz w:val="20"/>
                <w:szCs w:val="20"/>
              </w:rPr>
              <w:t>Afreeza</w:t>
            </w:r>
            <w:proofErr w:type="spellEnd"/>
            <w:r w:rsidRPr="000662DB">
              <w:rPr>
                <w:rFonts w:ascii="Calibri" w:eastAsia="Calibri" w:hAnsi="Calibri" w:cs="Calibri"/>
                <w:sz w:val="20"/>
                <w:szCs w:val="20"/>
              </w:rPr>
              <w:t>)</w:t>
            </w:r>
          </w:p>
        </w:tc>
        <w:tc>
          <w:tcPr>
            <w:tcW w:w="2126" w:type="dxa"/>
          </w:tcPr>
          <w:p w14:paraId="16A3B55D"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15-30 minutes</w:t>
            </w:r>
          </w:p>
          <w:p w14:paraId="21716A55"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 1-3 hours</w:t>
            </w:r>
          </w:p>
          <w:p w14:paraId="1709058A"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Duration: 3 - 5 hours</w:t>
            </w:r>
          </w:p>
        </w:tc>
        <w:tc>
          <w:tcPr>
            <w:tcW w:w="3544" w:type="dxa"/>
          </w:tcPr>
          <w:p w14:paraId="50263D9F" w14:textId="77777777" w:rsidR="000662DB" w:rsidRPr="000662DB" w:rsidRDefault="000662DB" w:rsidP="000662DB">
            <w:pPr>
              <w:numPr>
                <w:ilvl w:val="0"/>
                <w:numId w:val="3"/>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within 15 minutes before a meal or immediately after a meal</w:t>
            </w:r>
          </w:p>
          <w:p w14:paraId="6616E955" w14:textId="77777777" w:rsidR="000662DB" w:rsidRPr="000662DB" w:rsidRDefault="000662DB" w:rsidP="000662DB">
            <w:pPr>
              <w:numPr>
                <w:ilvl w:val="0"/>
                <w:numId w:val="3"/>
              </w:numPr>
              <w:ind w:left="227" w:hanging="227"/>
              <w:contextualSpacing/>
              <w:rPr>
                <w:rFonts w:ascii="Calibri" w:eastAsia="Times New Roman" w:hAnsi="Calibri" w:cs="Calibri"/>
                <w:sz w:val="20"/>
                <w:szCs w:val="20"/>
                <w:lang w:val="en-US"/>
              </w:rPr>
            </w:pPr>
            <w:proofErr w:type="spellStart"/>
            <w:r w:rsidRPr="000662DB">
              <w:rPr>
                <w:rFonts w:ascii="Calibri" w:eastAsia="Times New Roman" w:hAnsi="Calibri" w:cs="Calibri"/>
                <w:sz w:val="20"/>
                <w:szCs w:val="20"/>
                <w:lang w:val="en-US"/>
              </w:rPr>
              <w:t>Afrezza</w:t>
            </w:r>
            <w:proofErr w:type="spellEnd"/>
            <w:r w:rsidRPr="000662DB">
              <w:rPr>
                <w:rFonts w:ascii="Calibri" w:eastAsia="Times New Roman" w:hAnsi="Calibri" w:cs="Calibri"/>
                <w:sz w:val="20"/>
                <w:szCs w:val="20"/>
                <w:lang w:val="en-US"/>
              </w:rPr>
              <w:t xml:space="preserve"> is contraindicated in patients with asthma or COPD</w:t>
            </w:r>
          </w:p>
        </w:tc>
        <w:tc>
          <w:tcPr>
            <w:tcW w:w="3118" w:type="dxa"/>
          </w:tcPr>
          <w:p w14:paraId="1802434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Maintain serum blood glucose in normal range and achieve individualized target level of A1C (often 7%)</w:t>
            </w:r>
          </w:p>
        </w:tc>
        <w:tc>
          <w:tcPr>
            <w:tcW w:w="1892" w:type="dxa"/>
          </w:tcPr>
          <w:p w14:paraId="29DC2675"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7DBC0F4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p w14:paraId="32A3CAAD"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proofErr w:type="spellStart"/>
            <w:r w:rsidRPr="000662DB">
              <w:rPr>
                <w:rFonts w:ascii="Calibri" w:eastAsia="Times New Roman" w:hAnsi="Calibri" w:cs="Calibri"/>
                <w:sz w:val="20"/>
                <w:szCs w:val="20"/>
                <w:lang w:val="en-US"/>
              </w:rPr>
              <w:t>Afrezza</w:t>
            </w:r>
            <w:proofErr w:type="spellEnd"/>
            <w:r w:rsidRPr="000662DB">
              <w:rPr>
                <w:rFonts w:ascii="Calibri" w:eastAsia="Times New Roman" w:hAnsi="Calibri" w:cs="Calibri"/>
                <w:sz w:val="20"/>
                <w:szCs w:val="20"/>
                <w:lang w:val="en-US"/>
              </w:rPr>
              <w:t xml:space="preserve"> can cause acute bronchospasm</w:t>
            </w:r>
          </w:p>
        </w:tc>
      </w:tr>
      <w:tr w:rsidR="000662DB" w:rsidRPr="000662DB" w14:paraId="217316A5" w14:textId="77777777" w:rsidTr="001377AA">
        <w:tc>
          <w:tcPr>
            <w:tcW w:w="1530" w:type="dxa"/>
          </w:tcPr>
          <w:p w14:paraId="1AB3A3C6"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Short-Acting Insulin</w:t>
            </w:r>
          </w:p>
        </w:tc>
        <w:tc>
          <w:tcPr>
            <w:tcW w:w="2406" w:type="dxa"/>
          </w:tcPr>
          <w:p w14:paraId="789E96B4"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Humulin R</w:t>
            </w:r>
          </w:p>
        </w:tc>
        <w:tc>
          <w:tcPr>
            <w:tcW w:w="2126" w:type="dxa"/>
          </w:tcPr>
          <w:p w14:paraId="770864EF"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30 minutes</w:t>
            </w:r>
          </w:p>
          <w:p w14:paraId="1815143F"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 3 hours</w:t>
            </w:r>
          </w:p>
          <w:p w14:paraId="7BB66C41"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 xml:space="preserve">Duration: </w:t>
            </w:r>
            <w:proofErr w:type="gramStart"/>
            <w:r w:rsidRPr="000662DB">
              <w:rPr>
                <w:rFonts w:ascii="Calibri" w:eastAsia="Calibri" w:hAnsi="Calibri" w:cs="Calibri"/>
                <w:sz w:val="20"/>
                <w:szCs w:val="20"/>
              </w:rPr>
              <w:t>8  hours</w:t>
            </w:r>
            <w:proofErr w:type="gramEnd"/>
          </w:p>
        </w:tc>
        <w:tc>
          <w:tcPr>
            <w:tcW w:w="3544" w:type="dxa"/>
          </w:tcPr>
          <w:p w14:paraId="206402BC"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30 minutes before a meal</w:t>
            </w:r>
          </w:p>
        </w:tc>
        <w:tc>
          <w:tcPr>
            <w:tcW w:w="3118" w:type="dxa"/>
          </w:tcPr>
          <w:p w14:paraId="37C9A95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Maintain serum blood glucose in normal range and achieve individualized target level of A1C </w:t>
            </w:r>
          </w:p>
        </w:tc>
        <w:tc>
          <w:tcPr>
            <w:tcW w:w="1892" w:type="dxa"/>
          </w:tcPr>
          <w:p w14:paraId="4E72F7B4"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2B958098"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tc>
      </w:tr>
      <w:tr w:rsidR="000662DB" w:rsidRPr="000662DB" w14:paraId="692F9AB5" w14:textId="77777777" w:rsidTr="001377AA">
        <w:tc>
          <w:tcPr>
            <w:tcW w:w="1530" w:type="dxa"/>
          </w:tcPr>
          <w:p w14:paraId="57388019"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Intermediate-Acting Insulin</w:t>
            </w:r>
          </w:p>
        </w:tc>
        <w:tc>
          <w:tcPr>
            <w:tcW w:w="2406" w:type="dxa"/>
          </w:tcPr>
          <w:p w14:paraId="2D9715DA"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Humulin N</w:t>
            </w:r>
          </w:p>
          <w:p w14:paraId="182E0CB6"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Novolin N</w:t>
            </w:r>
          </w:p>
        </w:tc>
        <w:tc>
          <w:tcPr>
            <w:tcW w:w="2126" w:type="dxa"/>
          </w:tcPr>
          <w:p w14:paraId="39AA64A7"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1-2 hours</w:t>
            </w:r>
          </w:p>
          <w:p w14:paraId="58E43FE5"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 6 hours (range 2.8-13 hours)</w:t>
            </w:r>
          </w:p>
          <w:p w14:paraId="47741D3E"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Duration: up to 24 hours</w:t>
            </w:r>
          </w:p>
        </w:tc>
        <w:tc>
          <w:tcPr>
            <w:tcW w:w="3544" w:type="dxa"/>
          </w:tcPr>
          <w:p w14:paraId="4C92A053"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once or twice daily</w:t>
            </w:r>
          </w:p>
          <w:p w14:paraId="301D70F6"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Only administer subcutaneously</w:t>
            </w:r>
          </w:p>
          <w:p w14:paraId="74835AEA"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Gently roll or invert vial/pen several times to re-suspend the insulin before administration</w:t>
            </w:r>
          </w:p>
          <w:p w14:paraId="6E43C322"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Do not mix with </w:t>
            </w:r>
            <w:proofErr w:type="gramStart"/>
            <w:r w:rsidRPr="000662DB">
              <w:rPr>
                <w:rFonts w:ascii="Calibri" w:eastAsia="Times New Roman" w:hAnsi="Calibri" w:cs="Calibri"/>
                <w:sz w:val="20"/>
                <w:szCs w:val="20"/>
                <w:lang w:val="en-US"/>
              </w:rPr>
              <w:t>other</w:t>
            </w:r>
            <w:proofErr w:type="gramEnd"/>
            <w:r w:rsidRPr="000662DB">
              <w:rPr>
                <w:rFonts w:ascii="Calibri" w:eastAsia="Times New Roman" w:hAnsi="Calibri" w:cs="Calibri"/>
                <w:sz w:val="20"/>
                <w:szCs w:val="20"/>
                <w:lang w:val="en-US"/>
              </w:rPr>
              <w:t xml:space="preserve"> insulin</w:t>
            </w:r>
          </w:p>
        </w:tc>
        <w:tc>
          <w:tcPr>
            <w:tcW w:w="3118" w:type="dxa"/>
          </w:tcPr>
          <w:p w14:paraId="38A1E092"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Maintain serum blood glucose in normal range and achieve individualized target level of A1C (often 7%)</w:t>
            </w:r>
          </w:p>
        </w:tc>
        <w:tc>
          <w:tcPr>
            <w:tcW w:w="1892" w:type="dxa"/>
          </w:tcPr>
          <w:p w14:paraId="35310633"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34C79F1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tc>
      </w:tr>
      <w:tr w:rsidR="000662DB" w:rsidRPr="000662DB" w14:paraId="6F5D925A" w14:textId="77777777" w:rsidTr="001377AA">
        <w:tc>
          <w:tcPr>
            <w:tcW w:w="1530" w:type="dxa"/>
          </w:tcPr>
          <w:p w14:paraId="624F1208"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Combination: Intermediate-Acting/Rapid-Acting</w:t>
            </w:r>
          </w:p>
        </w:tc>
        <w:tc>
          <w:tcPr>
            <w:tcW w:w="2406" w:type="dxa"/>
          </w:tcPr>
          <w:p w14:paraId="0E73958D"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Humalog Mix 50/50</w:t>
            </w:r>
          </w:p>
          <w:p w14:paraId="033CF122"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Humalog Mix 75/25</w:t>
            </w:r>
          </w:p>
          <w:p w14:paraId="53FB4D96"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Novolog Mix 70/30</w:t>
            </w:r>
          </w:p>
          <w:p w14:paraId="6ADC6216"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*First number is % intermediate-acting insulin, second number is % rapid-acting</w:t>
            </w:r>
          </w:p>
        </w:tc>
        <w:tc>
          <w:tcPr>
            <w:tcW w:w="2126" w:type="dxa"/>
          </w:tcPr>
          <w:p w14:paraId="23ABDABC"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15-30 minutes</w:t>
            </w:r>
          </w:p>
          <w:p w14:paraId="12F311C7"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w:t>
            </w:r>
          </w:p>
          <w:p w14:paraId="11FDAA9B" w14:textId="77777777" w:rsidR="000662DB" w:rsidRPr="000662DB" w:rsidRDefault="000662DB" w:rsidP="000662DB">
            <w:pPr>
              <w:numPr>
                <w:ilvl w:val="0"/>
                <w:numId w:val="9"/>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50/50: 1-5 hours</w:t>
            </w:r>
          </w:p>
          <w:p w14:paraId="4B86AF56"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Duration: 11-22 hours</w:t>
            </w:r>
          </w:p>
        </w:tc>
        <w:tc>
          <w:tcPr>
            <w:tcW w:w="3544" w:type="dxa"/>
          </w:tcPr>
          <w:p w14:paraId="09014479" w14:textId="77777777" w:rsidR="000662DB" w:rsidRPr="000662DB" w:rsidRDefault="000662DB" w:rsidP="000662DB">
            <w:pPr>
              <w:numPr>
                <w:ilvl w:val="0"/>
                <w:numId w:val="5"/>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twice daily, 15 minutes before a meal or immediately after a meal</w:t>
            </w:r>
          </w:p>
          <w:p w14:paraId="10AC7B59" w14:textId="77777777" w:rsidR="000662DB" w:rsidRPr="000662DB" w:rsidRDefault="000662DB" w:rsidP="000662DB">
            <w:pPr>
              <w:numPr>
                <w:ilvl w:val="0"/>
                <w:numId w:val="5"/>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Only administer subcutaneously</w:t>
            </w:r>
          </w:p>
          <w:p w14:paraId="4404D14F" w14:textId="77777777" w:rsidR="000662DB" w:rsidRPr="000662DB" w:rsidRDefault="000662DB" w:rsidP="000662DB">
            <w:pPr>
              <w:numPr>
                <w:ilvl w:val="0"/>
                <w:numId w:val="5"/>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Gently roll or invert vial/pen several times to re-suspend the insulin before administration</w:t>
            </w:r>
          </w:p>
        </w:tc>
        <w:tc>
          <w:tcPr>
            <w:tcW w:w="3118" w:type="dxa"/>
          </w:tcPr>
          <w:p w14:paraId="07DEA49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Maintain serum blood glucose in normal range and achieve individualized target level of A1C (often 7%)</w:t>
            </w:r>
          </w:p>
        </w:tc>
        <w:tc>
          <w:tcPr>
            <w:tcW w:w="1892" w:type="dxa"/>
          </w:tcPr>
          <w:p w14:paraId="035CBCA7"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17BE01F3"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tc>
      </w:tr>
      <w:tr w:rsidR="000662DB" w:rsidRPr="000662DB" w14:paraId="58201960" w14:textId="77777777" w:rsidTr="001377AA">
        <w:tc>
          <w:tcPr>
            <w:tcW w:w="1530" w:type="dxa"/>
          </w:tcPr>
          <w:p w14:paraId="73C4870B"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Combination: Intermediate-Acting/Short-Acting</w:t>
            </w:r>
          </w:p>
        </w:tc>
        <w:tc>
          <w:tcPr>
            <w:tcW w:w="2406" w:type="dxa"/>
          </w:tcPr>
          <w:p w14:paraId="557DB70B"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Humulin 70/30</w:t>
            </w:r>
          </w:p>
          <w:p w14:paraId="52E3F930"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Novolin 70/30</w:t>
            </w:r>
          </w:p>
        </w:tc>
        <w:tc>
          <w:tcPr>
            <w:tcW w:w="2126" w:type="dxa"/>
          </w:tcPr>
          <w:p w14:paraId="0EDB7843"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30-90 minutes</w:t>
            </w:r>
          </w:p>
          <w:p w14:paraId="14A1634E"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 1.5-6.5 hours</w:t>
            </w:r>
          </w:p>
          <w:p w14:paraId="0E6B6D53"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Duration: 18-24 hours</w:t>
            </w:r>
          </w:p>
        </w:tc>
        <w:tc>
          <w:tcPr>
            <w:tcW w:w="3544" w:type="dxa"/>
          </w:tcPr>
          <w:p w14:paraId="4A4DAF4A" w14:textId="77777777" w:rsidR="000662DB" w:rsidRPr="000662DB" w:rsidRDefault="000662DB" w:rsidP="000662DB">
            <w:pPr>
              <w:numPr>
                <w:ilvl w:val="0"/>
                <w:numId w:val="6"/>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twice daily, 30-45 minutes before a meal</w:t>
            </w:r>
          </w:p>
          <w:p w14:paraId="214A952F" w14:textId="77777777" w:rsidR="000662DB" w:rsidRPr="000662DB" w:rsidRDefault="000662DB" w:rsidP="000662DB">
            <w:pPr>
              <w:numPr>
                <w:ilvl w:val="0"/>
                <w:numId w:val="6"/>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Only administer subcutaneously</w:t>
            </w:r>
          </w:p>
          <w:p w14:paraId="4549E3BF" w14:textId="77777777" w:rsidR="000662DB" w:rsidRPr="000662DB" w:rsidRDefault="000662DB" w:rsidP="000662DB">
            <w:pPr>
              <w:numPr>
                <w:ilvl w:val="0"/>
                <w:numId w:val="6"/>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Gently roll or invert vial/pen several times to re-suspend the insulin before administration</w:t>
            </w:r>
          </w:p>
          <w:p w14:paraId="3EB2EEA7" w14:textId="77777777" w:rsidR="000662DB" w:rsidRPr="000662DB" w:rsidRDefault="000662DB" w:rsidP="000662DB">
            <w:pPr>
              <w:numPr>
                <w:ilvl w:val="0"/>
                <w:numId w:val="6"/>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Do not mix with </w:t>
            </w:r>
            <w:proofErr w:type="gramStart"/>
            <w:r w:rsidRPr="000662DB">
              <w:rPr>
                <w:rFonts w:ascii="Calibri" w:eastAsia="Times New Roman" w:hAnsi="Calibri" w:cs="Calibri"/>
                <w:sz w:val="20"/>
                <w:szCs w:val="20"/>
                <w:lang w:val="en-US"/>
              </w:rPr>
              <w:t>other</w:t>
            </w:r>
            <w:proofErr w:type="gramEnd"/>
            <w:r w:rsidRPr="000662DB">
              <w:rPr>
                <w:rFonts w:ascii="Calibri" w:eastAsia="Times New Roman" w:hAnsi="Calibri" w:cs="Calibri"/>
                <w:sz w:val="20"/>
                <w:szCs w:val="20"/>
                <w:lang w:val="en-US"/>
              </w:rPr>
              <w:t xml:space="preserve"> insulin</w:t>
            </w:r>
          </w:p>
        </w:tc>
        <w:tc>
          <w:tcPr>
            <w:tcW w:w="3118" w:type="dxa"/>
          </w:tcPr>
          <w:p w14:paraId="717A5575"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Maintain serum blood glucose in normal range and achieve individualized target level of A1C (often 7%)</w:t>
            </w:r>
          </w:p>
        </w:tc>
        <w:tc>
          <w:tcPr>
            <w:tcW w:w="1892" w:type="dxa"/>
          </w:tcPr>
          <w:p w14:paraId="7D2D4CB5"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4DE4A879"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tc>
      </w:tr>
      <w:tr w:rsidR="000662DB" w:rsidRPr="000662DB" w14:paraId="0891EFF3" w14:textId="77777777" w:rsidTr="001377AA">
        <w:tc>
          <w:tcPr>
            <w:tcW w:w="1530" w:type="dxa"/>
            <w:tcBorders>
              <w:bottom w:val="single" w:sz="18" w:space="0" w:color="auto"/>
            </w:tcBorders>
          </w:tcPr>
          <w:p w14:paraId="627A5589"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t>Long-Acting Insulin</w:t>
            </w:r>
          </w:p>
        </w:tc>
        <w:tc>
          <w:tcPr>
            <w:tcW w:w="2406" w:type="dxa"/>
            <w:tcBorders>
              <w:bottom w:val="single" w:sz="18" w:space="0" w:color="auto"/>
            </w:tcBorders>
          </w:tcPr>
          <w:p w14:paraId="0A30448F"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insulin glargine (Lantus)</w:t>
            </w:r>
          </w:p>
          <w:p w14:paraId="78C2E8FA"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insulin detemir (Levemir)</w:t>
            </w:r>
          </w:p>
        </w:tc>
        <w:tc>
          <w:tcPr>
            <w:tcW w:w="2126" w:type="dxa"/>
            <w:tcBorders>
              <w:bottom w:val="single" w:sz="18" w:space="0" w:color="auto"/>
            </w:tcBorders>
          </w:tcPr>
          <w:p w14:paraId="6870C683"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Onset: 3-4 hours</w:t>
            </w:r>
          </w:p>
          <w:p w14:paraId="497C8DFE"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Peak effect: none</w:t>
            </w:r>
          </w:p>
          <w:p w14:paraId="4A603385"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Duration: &gt;24 hours</w:t>
            </w:r>
          </w:p>
        </w:tc>
        <w:tc>
          <w:tcPr>
            <w:tcW w:w="3544" w:type="dxa"/>
            <w:tcBorders>
              <w:bottom w:val="single" w:sz="18" w:space="0" w:color="auto"/>
            </w:tcBorders>
          </w:tcPr>
          <w:p w14:paraId="67A564E2" w14:textId="77777777" w:rsidR="000662DB" w:rsidRPr="000662DB" w:rsidRDefault="000662DB" w:rsidP="000662DB">
            <w:pPr>
              <w:numPr>
                <w:ilvl w:val="0"/>
                <w:numId w:val="7"/>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once daily (sometimes dose is split and administered twice daily)</w:t>
            </w:r>
          </w:p>
          <w:p w14:paraId="4F1C1DB3" w14:textId="77777777" w:rsidR="000662DB" w:rsidRPr="000662DB" w:rsidRDefault="000662DB" w:rsidP="000662DB">
            <w:pPr>
              <w:numPr>
                <w:ilvl w:val="0"/>
                <w:numId w:val="7"/>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Only administer subcutaneously</w:t>
            </w:r>
          </w:p>
          <w:p w14:paraId="04AC2F94" w14:textId="77777777" w:rsidR="000662DB" w:rsidRPr="000662DB" w:rsidRDefault="000662DB" w:rsidP="000662DB">
            <w:pPr>
              <w:numPr>
                <w:ilvl w:val="0"/>
                <w:numId w:val="7"/>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Do not mix with </w:t>
            </w:r>
            <w:proofErr w:type="gramStart"/>
            <w:r w:rsidRPr="000662DB">
              <w:rPr>
                <w:rFonts w:ascii="Calibri" w:eastAsia="Times New Roman" w:hAnsi="Calibri" w:cs="Calibri"/>
                <w:sz w:val="20"/>
                <w:szCs w:val="20"/>
                <w:lang w:val="en-US"/>
              </w:rPr>
              <w:t>other</w:t>
            </w:r>
            <w:proofErr w:type="gramEnd"/>
            <w:r w:rsidRPr="000662DB">
              <w:rPr>
                <w:rFonts w:ascii="Calibri" w:eastAsia="Times New Roman" w:hAnsi="Calibri" w:cs="Calibri"/>
                <w:sz w:val="20"/>
                <w:szCs w:val="20"/>
                <w:lang w:val="en-US"/>
              </w:rPr>
              <w:t xml:space="preserve"> insulin</w:t>
            </w:r>
          </w:p>
        </w:tc>
        <w:tc>
          <w:tcPr>
            <w:tcW w:w="3118" w:type="dxa"/>
            <w:tcBorders>
              <w:bottom w:val="single" w:sz="18" w:space="0" w:color="auto"/>
            </w:tcBorders>
          </w:tcPr>
          <w:p w14:paraId="5CA9E22F"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Maintain serum blood glucose in normal range and achieve individualized target level of A1C (often 7%)</w:t>
            </w:r>
          </w:p>
        </w:tc>
        <w:tc>
          <w:tcPr>
            <w:tcW w:w="1892" w:type="dxa"/>
            <w:tcBorders>
              <w:bottom w:val="single" w:sz="18" w:space="0" w:color="auto"/>
            </w:tcBorders>
          </w:tcPr>
          <w:p w14:paraId="7C56FF5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308F67E8"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Hypokalemia</w:t>
            </w:r>
          </w:p>
        </w:tc>
      </w:tr>
      <w:tr w:rsidR="000662DB" w:rsidRPr="000662DB" w14:paraId="24EFD114" w14:textId="77777777" w:rsidTr="001377AA">
        <w:tc>
          <w:tcPr>
            <w:tcW w:w="1530" w:type="dxa"/>
            <w:tcBorders>
              <w:top w:val="single" w:sz="18" w:space="0" w:color="auto"/>
            </w:tcBorders>
          </w:tcPr>
          <w:p w14:paraId="61AEE763"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Calibri"/>
                <w:b/>
                <w:sz w:val="20"/>
                <w:szCs w:val="20"/>
              </w:rPr>
              <w:lastRenderedPageBreak/>
              <w:t>Hyperglycemic</w:t>
            </w:r>
          </w:p>
        </w:tc>
        <w:tc>
          <w:tcPr>
            <w:tcW w:w="2406" w:type="dxa"/>
            <w:tcBorders>
              <w:top w:val="single" w:sz="18" w:space="0" w:color="auto"/>
            </w:tcBorders>
          </w:tcPr>
          <w:p w14:paraId="0DEF9DF4"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Glucagon</w:t>
            </w:r>
          </w:p>
        </w:tc>
        <w:tc>
          <w:tcPr>
            <w:tcW w:w="2126" w:type="dxa"/>
            <w:tcBorders>
              <w:top w:val="single" w:sz="18" w:space="0" w:color="auto"/>
            </w:tcBorders>
          </w:tcPr>
          <w:p w14:paraId="3C8B5D14" w14:textId="77777777" w:rsidR="000662DB" w:rsidRPr="000662DB" w:rsidRDefault="000662DB" w:rsidP="000662DB">
            <w:pPr>
              <w:tabs>
                <w:tab w:val="left" w:pos="369"/>
              </w:tabs>
              <w:spacing w:line="0" w:lineRule="atLeast"/>
              <w:rPr>
                <w:rFonts w:ascii="Calibri" w:eastAsia="Calibri" w:hAnsi="Calibri" w:cs="Calibri"/>
                <w:sz w:val="20"/>
                <w:szCs w:val="20"/>
              </w:rPr>
            </w:pPr>
          </w:p>
        </w:tc>
        <w:tc>
          <w:tcPr>
            <w:tcW w:w="3544" w:type="dxa"/>
            <w:tcBorders>
              <w:top w:val="single" w:sz="18" w:space="0" w:color="auto"/>
            </w:tcBorders>
          </w:tcPr>
          <w:p w14:paraId="497E8E06" w14:textId="77777777" w:rsidR="000662DB" w:rsidRPr="000662DB" w:rsidRDefault="000662DB" w:rsidP="000662DB">
            <w:pPr>
              <w:numPr>
                <w:ilvl w:val="0"/>
                <w:numId w:val="8"/>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be administered subcutaneously, IM, or IV</w:t>
            </w:r>
          </w:p>
          <w:p w14:paraId="171B5A25" w14:textId="77777777" w:rsidR="000662DB" w:rsidRPr="000662DB" w:rsidRDefault="000662DB" w:rsidP="000662DB">
            <w:pPr>
              <w:numPr>
                <w:ilvl w:val="0"/>
                <w:numId w:val="8"/>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Supplementary carbohydrate should be given as soon as possible, especially to a pediatric patient</w:t>
            </w:r>
          </w:p>
          <w:p w14:paraId="0F5DE861" w14:textId="77777777" w:rsidR="000662DB" w:rsidRPr="000662DB" w:rsidRDefault="000662DB" w:rsidP="000662DB">
            <w:pPr>
              <w:numPr>
                <w:ilvl w:val="0"/>
                <w:numId w:val="8"/>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Used to reverse hypoglycemic episode if NPO administration is not appropriate</w:t>
            </w:r>
          </w:p>
        </w:tc>
        <w:tc>
          <w:tcPr>
            <w:tcW w:w="3118" w:type="dxa"/>
            <w:tcBorders>
              <w:top w:val="single" w:sz="18" w:space="0" w:color="auto"/>
            </w:tcBorders>
          </w:tcPr>
          <w:p w14:paraId="20A887C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Used to reverse hypoglycemic episode if NPO administration is not appropriate</w:t>
            </w:r>
          </w:p>
        </w:tc>
        <w:tc>
          <w:tcPr>
            <w:tcW w:w="1892" w:type="dxa"/>
            <w:tcBorders>
              <w:top w:val="single" w:sz="18" w:space="0" w:color="auto"/>
            </w:tcBorders>
          </w:tcPr>
          <w:p w14:paraId="7C6E0CD9"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hyperglycemia</w:t>
            </w:r>
          </w:p>
        </w:tc>
      </w:tr>
    </w:tbl>
    <w:p w14:paraId="1F34A3A4" w14:textId="77777777" w:rsidR="000662DB" w:rsidRPr="000662DB" w:rsidRDefault="000662DB" w:rsidP="000662DB">
      <w:pPr>
        <w:spacing w:after="0" w:line="240" w:lineRule="auto"/>
        <w:ind w:firstLine="720"/>
        <w:rPr>
          <w:rFonts w:ascii="Calibri" w:eastAsia="Calibri" w:hAnsi="Calibri" w:cs="Times New Roman"/>
          <w:bCs/>
        </w:rPr>
      </w:pPr>
    </w:p>
    <w:p w14:paraId="417686F8" w14:textId="77777777" w:rsidR="000662DB" w:rsidRPr="000662DB" w:rsidRDefault="000662DB" w:rsidP="000662DB">
      <w:pPr>
        <w:spacing w:after="0" w:line="240" w:lineRule="auto"/>
        <w:ind w:firstLine="720"/>
        <w:rPr>
          <w:rFonts w:ascii="Calibri" w:eastAsia="Calibri" w:hAnsi="Calibri" w:cs="Times New Roman"/>
          <w:bCs/>
        </w:rPr>
      </w:pPr>
    </w:p>
    <w:p w14:paraId="7B24C15D" w14:textId="77777777" w:rsidR="000662DB" w:rsidRPr="000662DB" w:rsidRDefault="000662DB" w:rsidP="000662DB">
      <w:pPr>
        <w:spacing w:after="0" w:line="240" w:lineRule="auto"/>
        <w:ind w:firstLine="720"/>
        <w:rPr>
          <w:rFonts w:ascii="Calibri" w:eastAsia="Calibri" w:hAnsi="Calibri" w:cs="Times New Roman"/>
          <w:bCs/>
        </w:rPr>
      </w:pPr>
    </w:p>
    <w:p w14:paraId="4C1B14DB" w14:textId="77777777" w:rsidR="000662DB" w:rsidRPr="000662DB" w:rsidRDefault="000662DB" w:rsidP="000662DB">
      <w:pPr>
        <w:spacing w:after="0" w:line="240" w:lineRule="auto"/>
        <w:ind w:firstLine="720"/>
        <w:rPr>
          <w:rFonts w:ascii="Calibri" w:eastAsia="Calibri" w:hAnsi="Calibri" w:cs="Times New Roman"/>
          <w:bCs/>
        </w:rPr>
      </w:pPr>
    </w:p>
    <w:tbl>
      <w:tblPr>
        <w:tblStyle w:val="TableGrid1"/>
        <w:tblW w:w="0" w:type="auto"/>
        <w:tblLook w:val="04A0" w:firstRow="1" w:lastRow="0" w:firstColumn="1" w:lastColumn="0" w:noHBand="0" w:noVBand="1"/>
      </w:tblPr>
      <w:tblGrid>
        <w:gridCol w:w="1526"/>
        <w:gridCol w:w="1542"/>
        <w:gridCol w:w="4173"/>
        <w:gridCol w:w="2926"/>
        <w:gridCol w:w="4223"/>
      </w:tblGrid>
      <w:tr w:rsidR="000662DB" w:rsidRPr="000662DB" w14:paraId="6C4CF709" w14:textId="77777777" w:rsidTr="000662DB">
        <w:tc>
          <w:tcPr>
            <w:tcW w:w="14616" w:type="dxa"/>
            <w:gridSpan w:val="5"/>
            <w:shd w:val="clear" w:color="auto" w:fill="F2F2F2"/>
          </w:tcPr>
          <w:p w14:paraId="45FBEA01" w14:textId="77777777" w:rsidR="000662DB" w:rsidRPr="000662DB" w:rsidRDefault="000662DB" w:rsidP="000662DB">
            <w:pPr>
              <w:spacing w:line="0" w:lineRule="atLeast"/>
              <w:ind w:firstLine="0"/>
              <w:jc w:val="both"/>
              <w:rPr>
                <w:rFonts w:ascii="Calibri" w:eastAsia="Calibri" w:hAnsi="Calibri" w:cs="Calibri"/>
                <w:b/>
                <w:sz w:val="20"/>
                <w:szCs w:val="20"/>
              </w:rPr>
            </w:pPr>
            <w:r w:rsidRPr="000662DB">
              <w:rPr>
                <w:rFonts w:ascii="Calibri" w:eastAsia="Calibri" w:hAnsi="Calibri" w:cs="Calibri"/>
                <w:b/>
                <w:sz w:val="20"/>
                <w:szCs w:val="20"/>
              </w:rPr>
              <w:t xml:space="preserve">Oral antidiabetics  </w:t>
            </w:r>
          </w:p>
        </w:tc>
      </w:tr>
      <w:tr w:rsidR="000662DB" w:rsidRPr="000662DB" w14:paraId="72DB1845" w14:textId="77777777" w:rsidTr="001377AA">
        <w:trPr>
          <w:trHeight w:val="502"/>
        </w:trPr>
        <w:tc>
          <w:tcPr>
            <w:tcW w:w="14616" w:type="dxa"/>
            <w:gridSpan w:val="5"/>
          </w:tcPr>
          <w:p w14:paraId="5FAE09D5" w14:textId="77777777" w:rsidR="000662DB" w:rsidRPr="000662DB" w:rsidRDefault="000662DB" w:rsidP="000662DB">
            <w:pPr>
              <w:ind w:firstLine="0"/>
              <w:rPr>
                <w:rFonts w:ascii="Calibri" w:eastAsia="Times New Roman" w:hAnsi="Calibri" w:cs="Calibri"/>
                <w:b/>
                <w:sz w:val="20"/>
                <w:szCs w:val="20"/>
              </w:rPr>
            </w:pPr>
            <w:r w:rsidRPr="000662DB">
              <w:rPr>
                <w:rFonts w:ascii="Calibri" w:eastAsia="Times New Roman" w:hAnsi="Calibri" w:cs="Calibri"/>
                <w:b/>
                <w:sz w:val="20"/>
                <w:szCs w:val="20"/>
              </w:rPr>
              <w:t xml:space="preserve">Therapeutic Effects: </w:t>
            </w:r>
          </w:p>
          <w:p w14:paraId="32BC0A12" w14:textId="77777777" w:rsidR="000662DB" w:rsidRPr="000662DB" w:rsidRDefault="000662DB" w:rsidP="000662DB">
            <w:pPr>
              <w:numPr>
                <w:ilvl w:val="0"/>
                <w:numId w:val="2"/>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management of type 2 diabetes</w:t>
            </w:r>
          </w:p>
        </w:tc>
      </w:tr>
      <w:tr w:rsidR="000662DB" w:rsidRPr="000662DB" w14:paraId="0F05C987" w14:textId="77777777" w:rsidTr="000662DB">
        <w:tc>
          <w:tcPr>
            <w:tcW w:w="1530" w:type="dxa"/>
            <w:shd w:val="clear" w:color="auto" w:fill="F2F2F2"/>
          </w:tcPr>
          <w:p w14:paraId="5A3F170F"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Class</w:t>
            </w:r>
          </w:p>
        </w:tc>
        <w:tc>
          <w:tcPr>
            <w:tcW w:w="1555" w:type="dxa"/>
            <w:shd w:val="clear" w:color="auto" w:fill="F2F2F2"/>
          </w:tcPr>
          <w:p w14:paraId="41648E5D"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Prototypes</w:t>
            </w:r>
          </w:p>
        </w:tc>
        <w:tc>
          <w:tcPr>
            <w:tcW w:w="4253" w:type="dxa"/>
            <w:shd w:val="clear" w:color="auto" w:fill="F2F2F2"/>
          </w:tcPr>
          <w:p w14:paraId="49B65F8D" w14:textId="77777777" w:rsidR="000662DB" w:rsidRPr="000662DB" w:rsidRDefault="000662DB" w:rsidP="000662DB">
            <w:pPr>
              <w:ind w:firstLine="0"/>
              <w:jc w:val="both"/>
              <w:rPr>
                <w:rFonts w:ascii="Calibri" w:eastAsia="Calibri" w:hAnsi="Calibri" w:cs="Calibri"/>
                <w:b/>
                <w:sz w:val="20"/>
                <w:szCs w:val="20"/>
              </w:rPr>
            </w:pPr>
            <w:r w:rsidRPr="000662DB">
              <w:rPr>
                <w:rFonts w:ascii="Calibri" w:eastAsia="Calibri" w:hAnsi="Calibri" w:cs="Calibri"/>
                <w:b/>
                <w:sz w:val="20"/>
                <w:szCs w:val="20"/>
              </w:rPr>
              <w:t>Administration Considerations</w:t>
            </w:r>
          </w:p>
        </w:tc>
        <w:tc>
          <w:tcPr>
            <w:tcW w:w="2976" w:type="dxa"/>
            <w:shd w:val="clear" w:color="auto" w:fill="F2F2F2"/>
          </w:tcPr>
          <w:p w14:paraId="747C6EEC" w14:textId="77777777"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Therapeutic Effects</w:t>
            </w:r>
          </w:p>
        </w:tc>
        <w:tc>
          <w:tcPr>
            <w:tcW w:w="4302" w:type="dxa"/>
            <w:shd w:val="clear" w:color="auto" w:fill="F2F2F2"/>
          </w:tcPr>
          <w:p w14:paraId="64B8579B" w14:textId="5D3F4610" w:rsidR="000662DB" w:rsidRPr="000662DB" w:rsidRDefault="000662DB" w:rsidP="000662DB">
            <w:pPr>
              <w:ind w:firstLine="0"/>
              <w:rPr>
                <w:rFonts w:ascii="Calibri" w:eastAsia="Calibri" w:hAnsi="Calibri" w:cs="Calibri"/>
                <w:b/>
                <w:sz w:val="20"/>
                <w:szCs w:val="20"/>
              </w:rPr>
            </w:pPr>
            <w:r w:rsidRPr="000662DB">
              <w:rPr>
                <w:rFonts w:ascii="Calibri" w:eastAsia="Calibri" w:hAnsi="Calibri" w:cs="Calibri"/>
                <w:b/>
                <w:sz w:val="20"/>
                <w:szCs w:val="20"/>
              </w:rPr>
              <w:t>Adverse/Side Effects</w:t>
            </w:r>
          </w:p>
        </w:tc>
      </w:tr>
      <w:tr w:rsidR="000662DB" w:rsidRPr="000662DB" w14:paraId="48428987" w14:textId="77777777" w:rsidTr="001377AA">
        <w:tc>
          <w:tcPr>
            <w:tcW w:w="1530" w:type="dxa"/>
          </w:tcPr>
          <w:p w14:paraId="6C10E8F4"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Times New Roman"/>
              </w:rPr>
              <w:t>Sulfonylureas</w:t>
            </w:r>
          </w:p>
        </w:tc>
        <w:tc>
          <w:tcPr>
            <w:tcW w:w="1555" w:type="dxa"/>
          </w:tcPr>
          <w:p w14:paraId="5FC5B939"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Gliclazide</w:t>
            </w:r>
          </w:p>
        </w:tc>
        <w:tc>
          <w:tcPr>
            <w:tcW w:w="4253" w:type="dxa"/>
          </w:tcPr>
          <w:p w14:paraId="3F5F9ECB" w14:textId="77777777" w:rsidR="000662DB" w:rsidRPr="000662DB" w:rsidRDefault="000662DB" w:rsidP="000662DB">
            <w:pPr>
              <w:numPr>
                <w:ilvl w:val="0"/>
                <w:numId w:val="3"/>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Time with meals; peak plasma concentrations occur 1 to 3 hours after administration</w:t>
            </w:r>
          </w:p>
        </w:tc>
        <w:tc>
          <w:tcPr>
            <w:tcW w:w="2976" w:type="dxa"/>
          </w:tcPr>
          <w:p w14:paraId="525B987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Reduce fasting blood sugar and glycosylated hemoglobin to near normal</w:t>
            </w:r>
          </w:p>
        </w:tc>
        <w:tc>
          <w:tcPr>
            <w:tcW w:w="4302" w:type="dxa"/>
          </w:tcPr>
          <w:p w14:paraId="1EF56C25"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proofErr w:type="gramStart"/>
            <w:r w:rsidRPr="000662DB">
              <w:rPr>
                <w:rFonts w:ascii="Calibri" w:eastAsia="Times New Roman" w:hAnsi="Calibri" w:cs="Calibri"/>
                <w:sz w:val="20"/>
                <w:szCs w:val="20"/>
                <w:lang w:val="en-US"/>
              </w:rPr>
              <w:t>Hypoglycemia;</w:t>
            </w:r>
            <w:proofErr w:type="gramEnd"/>
            <w:r w:rsidRPr="000662DB">
              <w:rPr>
                <w:rFonts w:ascii="Calibri" w:eastAsia="Times New Roman" w:hAnsi="Calibri" w:cs="Calibri"/>
                <w:sz w:val="20"/>
                <w:szCs w:val="20"/>
                <w:lang w:val="en-US"/>
              </w:rPr>
              <w:t xml:space="preserve"> may be potentiated by nonsteroidal anti-inflammatory agents and other drugs that are highly protein bound</w:t>
            </w:r>
          </w:p>
        </w:tc>
      </w:tr>
      <w:tr w:rsidR="000662DB" w:rsidRPr="000662DB" w14:paraId="3DAA1C09" w14:textId="77777777" w:rsidTr="001377AA">
        <w:tc>
          <w:tcPr>
            <w:tcW w:w="1530" w:type="dxa"/>
          </w:tcPr>
          <w:p w14:paraId="3BA2E1D3"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Times New Roman"/>
              </w:rPr>
              <w:t>Biguanide</w:t>
            </w:r>
          </w:p>
        </w:tc>
        <w:tc>
          <w:tcPr>
            <w:tcW w:w="1555" w:type="dxa"/>
          </w:tcPr>
          <w:p w14:paraId="72BE3710"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Metformin</w:t>
            </w:r>
          </w:p>
        </w:tc>
        <w:tc>
          <w:tcPr>
            <w:tcW w:w="4253" w:type="dxa"/>
          </w:tcPr>
          <w:p w14:paraId="065351BC"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Contraindicated in renal and hepatic disease</w:t>
            </w:r>
          </w:p>
          <w:p w14:paraId="45734295"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Should be temporarily discontinued in patients undergoing radiologic studies involving intravascular administration of iodinated contrast materials</w:t>
            </w:r>
          </w:p>
        </w:tc>
        <w:tc>
          <w:tcPr>
            <w:tcW w:w="2976" w:type="dxa"/>
          </w:tcPr>
          <w:p w14:paraId="71CE2B3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Reduce fasting blood sugar and glycosylated hemoglobin to near normal</w:t>
            </w:r>
          </w:p>
        </w:tc>
        <w:tc>
          <w:tcPr>
            <w:tcW w:w="4302" w:type="dxa"/>
          </w:tcPr>
          <w:p w14:paraId="0D5BC135"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Stop immediately if signs of lactic acidosis or any condition associated with hypoxemia, dehydration, or sepsis occurs</w:t>
            </w:r>
          </w:p>
          <w:p w14:paraId="140FCFF8"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Common adverse effects: diarrhea, nausea/vomiting, weakness, flatulence, indigestion, abdominal discomfort, and headache</w:t>
            </w:r>
          </w:p>
        </w:tc>
      </w:tr>
      <w:tr w:rsidR="000662DB" w:rsidRPr="000662DB" w14:paraId="6EAB40E4" w14:textId="77777777" w:rsidTr="001377AA">
        <w:tc>
          <w:tcPr>
            <w:tcW w:w="1530" w:type="dxa"/>
          </w:tcPr>
          <w:p w14:paraId="42024EED" w14:textId="77777777" w:rsidR="000662DB" w:rsidRPr="000662DB" w:rsidRDefault="000662DB" w:rsidP="000662DB">
            <w:pPr>
              <w:tabs>
                <w:tab w:val="left" w:pos="369"/>
              </w:tabs>
              <w:spacing w:line="0" w:lineRule="atLeast"/>
              <w:ind w:firstLine="0"/>
              <w:rPr>
                <w:rFonts w:ascii="Calibri" w:eastAsia="Calibri" w:hAnsi="Calibri" w:cs="Calibri"/>
                <w:b/>
                <w:sz w:val="20"/>
                <w:szCs w:val="20"/>
              </w:rPr>
            </w:pPr>
            <w:r w:rsidRPr="000662DB">
              <w:rPr>
                <w:rFonts w:ascii="Calibri" w:eastAsia="Calibri" w:hAnsi="Calibri" w:cs="Times New Roman"/>
              </w:rPr>
              <w:t>DPP-IV inhibitor</w:t>
            </w:r>
          </w:p>
        </w:tc>
        <w:tc>
          <w:tcPr>
            <w:tcW w:w="1555" w:type="dxa"/>
          </w:tcPr>
          <w:p w14:paraId="6D9AA2C7" w14:textId="77777777" w:rsidR="000662DB" w:rsidRPr="000662DB" w:rsidRDefault="000662DB" w:rsidP="000662DB">
            <w:pPr>
              <w:tabs>
                <w:tab w:val="left" w:pos="369"/>
              </w:tabs>
              <w:spacing w:line="0" w:lineRule="atLeast"/>
              <w:ind w:firstLine="0"/>
              <w:rPr>
                <w:rFonts w:ascii="Calibri" w:eastAsia="Calibri" w:hAnsi="Calibri" w:cs="Calibri"/>
                <w:sz w:val="20"/>
                <w:szCs w:val="20"/>
              </w:rPr>
            </w:pPr>
            <w:r w:rsidRPr="000662DB">
              <w:rPr>
                <w:rFonts w:ascii="Calibri" w:eastAsia="Calibri" w:hAnsi="Calibri" w:cs="Calibri"/>
                <w:sz w:val="20"/>
                <w:szCs w:val="20"/>
              </w:rPr>
              <w:t>Sitagliptin</w:t>
            </w:r>
          </w:p>
        </w:tc>
        <w:tc>
          <w:tcPr>
            <w:tcW w:w="4253" w:type="dxa"/>
          </w:tcPr>
          <w:p w14:paraId="60638D79" w14:textId="77777777" w:rsidR="000662DB" w:rsidRPr="000662DB" w:rsidRDefault="000662DB" w:rsidP="000662DB">
            <w:pPr>
              <w:numPr>
                <w:ilvl w:val="0"/>
                <w:numId w:val="4"/>
              </w:numPr>
              <w:ind w:left="227" w:hanging="227"/>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 xml:space="preserve">Can </w:t>
            </w:r>
            <w:proofErr w:type="spellStart"/>
            <w:r w:rsidRPr="000662DB">
              <w:rPr>
                <w:rFonts w:ascii="Calibri" w:eastAsia="Times New Roman" w:hAnsi="Calibri" w:cs="Calibri"/>
                <w:sz w:val="20"/>
                <w:szCs w:val="20"/>
                <w:lang w:val="en-US"/>
              </w:rPr>
              <w:t>bxze</w:t>
            </w:r>
            <w:proofErr w:type="spellEnd"/>
            <w:r w:rsidRPr="000662DB">
              <w:rPr>
                <w:rFonts w:ascii="Calibri" w:eastAsia="Times New Roman" w:hAnsi="Calibri" w:cs="Calibri"/>
                <w:sz w:val="20"/>
                <w:szCs w:val="20"/>
                <w:lang w:val="en-US"/>
              </w:rPr>
              <w:t xml:space="preserve"> given with or without food</w:t>
            </w:r>
          </w:p>
        </w:tc>
        <w:tc>
          <w:tcPr>
            <w:tcW w:w="2976" w:type="dxa"/>
          </w:tcPr>
          <w:p w14:paraId="66374B6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Reduce fasting blood sugar and glycosylated hemoglobin to near norm</w:t>
            </w:r>
          </w:p>
        </w:tc>
        <w:tc>
          <w:tcPr>
            <w:tcW w:w="4302" w:type="dxa"/>
          </w:tcPr>
          <w:p w14:paraId="725560B9"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Hypoglycemia</w:t>
            </w:r>
          </w:p>
          <w:p w14:paraId="506C8806"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Report hypersensitivity reactions, blisters/erosions, headache, or symptoms of pancreatitis, heart failure, severe arthralgia, or upper respiratory infection</w:t>
            </w:r>
          </w:p>
        </w:tc>
      </w:tr>
    </w:tbl>
    <w:p w14:paraId="3AE56E8D" w14:textId="77777777" w:rsidR="000662DB" w:rsidRPr="000662DB" w:rsidRDefault="000662DB" w:rsidP="000662DB">
      <w:pPr>
        <w:spacing w:after="0" w:line="240" w:lineRule="auto"/>
        <w:ind w:firstLine="720"/>
        <w:rPr>
          <w:rFonts w:ascii="Calibri" w:eastAsia="Calibri" w:hAnsi="Calibri" w:cs="Times New Roman"/>
          <w:bCs/>
        </w:rPr>
      </w:pPr>
    </w:p>
    <w:p w14:paraId="0ECEFDA7" w14:textId="77777777" w:rsidR="000662DB" w:rsidRPr="000662DB" w:rsidRDefault="000662DB" w:rsidP="000662DB">
      <w:pPr>
        <w:spacing w:after="0" w:line="240" w:lineRule="auto"/>
        <w:ind w:firstLine="720"/>
        <w:rPr>
          <w:rFonts w:ascii="Calibri" w:eastAsia="Calibri" w:hAnsi="Calibri" w:cs="Times New Roman"/>
          <w:bCs/>
        </w:rPr>
      </w:pPr>
    </w:p>
    <w:p w14:paraId="35E5AEC2" w14:textId="77777777" w:rsidR="000662DB" w:rsidRPr="000662DB" w:rsidRDefault="000662DB" w:rsidP="000662DB">
      <w:pPr>
        <w:spacing w:after="0" w:line="240" w:lineRule="auto"/>
        <w:ind w:firstLine="720"/>
        <w:rPr>
          <w:rFonts w:ascii="Calibri" w:eastAsia="Calibri" w:hAnsi="Calibri" w:cs="Times New Roman"/>
          <w:bCs/>
        </w:rPr>
      </w:pPr>
    </w:p>
    <w:p w14:paraId="476E2011" w14:textId="77777777" w:rsidR="000662DB" w:rsidRPr="000662DB" w:rsidRDefault="000662DB" w:rsidP="000662DB">
      <w:pPr>
        <w:spacing w:after="0" w:line="240" w:lineRule="auto"/>
        <w:ind w:firstLine="720"/>
        <w:rPr>
          <w:rFonts w:ascii="Calibri" w:eastAsia="Calibri" w:hAnsi="Calibri" w:cs="Times New Roman"/>
          <w:bCs/>
        </w:rPr>
      </w:pPr>
    </w:p>
    <w:p w14:paraId="66D112FA" w14:textId="77777777" w:rsidR="000662DB" w:rsidRPr="000662DB" w:rsidRDefault="000662DB" w:rsidP="000662DB">
      <w:pPr>
        <w:spacing w:after="0" w:line="240" w:lineRule="auto"/>
        <w:ind w:firstLine="720"/>
        <w:rPr>
          <w:rFonts w:ascii="Calibri" w:eastAsia="Calibri" w:hAnsi="Calibri" w:cs="Times New Roman"/>
          <w:bCs/>
        </w:rPr>
      </w:pPr>
    </w:p>
    <w:p w14:paraId="7DD1E2C0" w14:textId="77777777" w:rsidR="000662DB" w:rsidRPr="000662DB" w:rsidRDefault="000662DB" w:rsidP="000662DB">
      <w:pPr>
        <w:spacing w:after="0" w:line="240" w:lineRule="auto"/>
        <w:ind w:firstLine="720"/>
        <w:rPr>
          <w:rFonts w:ascii="Calibri" w:eastAsia="Calibri" w:hAnsi="Calibri" w:cs="Times New Roman"/>
          <w:bCs/>
        </w:rPr>
      </w:pPr>
    </w:p>
    <w:p w14:paraId="77F4C919" w14:textId="77777777" w:rsidR="000662DB" w:rsidRPr="000662DB" w:rsidRDefault="000662DB" w:rsidP="000662DB">
      <w:pPr>
        <w:spacing w:after="0" w:line="240" w:lineRule="auto"/>
        <w:ind w:firstLine="720"/>
        <w:rPr>
          <w:rFonts w:ascii="Calibri" w:eastAsia="Calibri" w:hAnsi="Calibri" w:cs="Times New Roman"/>
          <w:bCs/>
        </w:rPr>
      </w:pPr>
    </w:p>
    <w:p w14:paraId="04D3ACE9" w14:textId="77777777" w:rsidR="000662DB" w:rsidRPr="000662DB" w:rsidRDefault="000662DB" w:rsidP="000662DB">
      <w:pPr>
        <w:spacing w:after="0" w:line="240" w:lineRule="auto"/>
        <w:ind w:firstLine="720"/>
        <w:rPr>
          <w:rFonts w:ascii="Calibri" w:eastAsia="Calibri" w:hAnsi="Calibri" w:cs="Times New Roman"/>
          <w:bCs/>
        </w:rPr>
      </w:pPr>
    </w:p>
    <w:p w14:paraId="479D1E9E" w14:textId="77777777" w:rsidR="000662DB" w:rsidRPr="000662DB" w:rsidRDefault="000662DB" w:rsidP="000662DB">
      <w:pPr>
        <w:spacing w:after="0" w:line="240" w:lineRule="auto"/>
        <w:ind w:firstLine="720"/>
        <w:rPr>
          <w:rFonts w:ascii="Calibri" w:eastAsia="Calibri" w:hAnsi="Calibri" w:cs="Times New Roman"/>
          <w:bCs/>
        </w:rPr>
      </w:pPr>
    </w:p>
    <w:p w14:paraId="71AC612C" w14:textId="77777777" w:rsidR="000662DB" w:rsidRPr="000662DB" w:rsidRDefault="000662DB" w:rsidP="000662DB">
      <w:pPr>
        <w:spacing w:after="0" w:line="240" w:lineRule="auto"/>
        <w:ind w:firstLine="720"/>
        <w:rPr>
          <w:rFonts w:ascii="Calibri" w:eastAsia="Calibri" w:hAnsi="Calibri" w:cs="Times New Roman"/>
          <w:bCs/>
        </w:rPr>
      </w:pPr>
    </w:p>
    <w:p w14:paraId="7D18C3A6" w14:textId="77777777" w:rsidR="000662DB" w:rsidRPr="000662DB" w:rsidRDefault="000662DB" w:rsidP="000662DB">
      <w:pPr>
        <w:spacing w:after="0" w:line="240" w:lineRule="auto"/>
        <w:ind w:firstLine="720"/>
        <w:rPr>
          <w:rFonts w:ascii="Calibri" w:eastAsia="Calibri" w:hAnsi="Calibri" w:cs="Times New Roman"/>
          <w:bCs/>
        </w:rPr>
      </w:pPr>
    </w:p>
    <w:p w14:paraId="3A16C272" w14:textId="77777777" w:rsidR="000662DB" w:rsidRPr="000662DB" w:rsidRDefault="000662DB" w:rsidP="000662DB">
      <w:pPr>
        <w:spacing w:after="0" w:line="240" w:lineRule="auto"/>
        <w:ind w:firstLine="720"/>
        <w:rPr>
          <w:rFonts w:ascii="Calibri" w:eastAsia="Calibri" w:hAnsi="Calibri" w:cs="Times New Roman"/>
          <w:bCs/>
        </w:rPr>
      </w:pPr>
    </w:p>
    <w:tbl>
      <w:tblPr>
        <w:tblStyle w:val="TableGrid1"/>
        <w:tblW w:w="0" w:type="auto"/>
        <w:tblLook w:val="04A0" w:firstRow="1" w:lastRow="0" w:firstColumn="1" w:lastColumn="0" w:noHBand="0" w:noVBand="1"/>
      </w:tblPr>
      <w:tblGrid>
        <w:gridCol w:w="2324"/>
        <w:gridCol w:w="2229"/>
        <w:gridCol w:w="4888"/>
        <w:gridCol w:w="2074"/>
        <w:gridCol w:w="2875"/>
      </w:tblGrid>
      <w:tr w:rsidR="000662DB" w:rsidRPr="000662DB" w14:paraId="0F4EDFDB" w14:textId="77777777" w:rsidTr="000662DB">
        <w:tc>
          <w:tcPr>
            <w:tcW w:w="14616" w:type="dxa"/>
            <w:gridSpan w:val="5"/>
            <w:shd w:val="clear" w:color="auto" w:fill="F2F2F2"/>
          </w:tcPr>
          <w:p w14:paraId="162E7518" w14:textId="77777777" w:rsidR="000662DB" w:rsidRPr="000662DB" w:rsidRDefault="000662DB" w:rsidP="000662DB">
            <w:pPr>
              <w:spacing w:line="0" w:lineRule="atLeast"/>
              <w:jc w:val="both"/>
              <w:rPr>
                <w:rFonts w:ascii="Calibri" w:eastAsia="Calibri" w:hAnsi="Calibri" w:cs="Calibri"/>
                <w:b/>
                <w:sz w:val="20"/>
                <w:szCs w:val="20"/>
              </w:rPr>
            </w:pPr>
            <w:r w:rsidRPr="000662DB">
              <w:rPr>
                <w:rFonts w:ascii="Calibri" w:eastAsia="Calibri" w:hAnsi="Calibri" w:cs="Calibri"/>
                <w:b/>
                <w:sz w:val="20"/>
                <w:szCs w:val="20"/>
              </w:rPr>
              <w:t xml:space="preserve">Thyroid and Osteoporosis medications  </w:t>
            </w:r>
          </w:p>
        </w:tc>
      </w:tr>
      <w:tr w:rsidR="000662DB" w:rsidRPr="000662DB" w14:paraId="5CFC91E8" w14:textId="77777777" w:rsidTr="001377AA">
        <w:trPr>
          <w:trHeight w:val="158"/>
        </w:trPr>
        <w:tc>
          <w:tcPr>
            <w:tcW w:w="14616" w:type="dxa"/>
            <w:gridSpan w:val="5"/>
          </w:tcPr>
          <w:p w14:paraId="5FEE88A2" w14:textId="77777777" w:rsidR="000662DB" w:rsidRPr="000662DB" w:rsidRDefault="000662DB" w:rsidP="000662DB">
            <w:pPr>
              <w:rPr>
                <w:rFonts w:ascii="Calibri" w:eastAsia="Calibri" w:hAnsi="Calibri" w:cs="Calibri"/>
                <w:sz w:val="20"/>
                <w:szCs w:val="20"/>
              </w:rPr>
            </w:pPr>
          </w:p>
        </w:tc>
      </w:tr>
      <w:tr w:rsidR="000662DB" w:rsidRPr="000662DB" w14:paraId="227F4446" w14:textId="77777777" w:rsidTr="000662DB">
        <w:tc>
          <w:tcPr>
            <w:tcW w:w="1743" w:type="dxa"/>
            <w:shd w:val="clear" w:color="auto" w:fill="F2F2F2"/>
          </w:tcPr>
          <w:p w14:paraId="60765010" w14:textId="77777777" w:rsidR="000662DB" w:rsidRPr="000662DB" w:rsidRDefault="000662DB" w:rsidP="000662DB">
            <w:pPr>
              <w:jc w:val="both"/>
              <w:rPr>
                <w:rFonts w:ascii="Calibri" w:eastAsia="Calibri" w:hAnsi="Calibri" w:cs="Calibri"/>
                <w:b/>
                <w:sz w:val="20"/>
                <w:szCs w:val="20"/>
              </w:rPr>
            </w:pPr>
            <w:r w:rsidRPr="000662DB">
              <w:rPr>
                <w:rFonts w:ascii="Calibri" w:eastAsia="Calibri" w:hAnsi="Calibri" w:cs="Calibri"/>
                <w:b/>
                <w:sz w:val="20"/>
                <w:szCs w:val="20"/>
              </w:rPr>
              <w:t>Class</w:t>
            </w:r>
          </w:p>
        </w:tc>
        <w:tc>
          <w:tcPr>
            <w:tcW w:w="1554" w:type="dxa"/>
            <w:shd w:val="clear" w:color="auto" w:fill="F2F2F2"/>
          </w:tcPr>
          <w:p w14:paraId="35EA6D66" w14:textId="77777777" w:rsidR="000662DB" w:rsidRPr="000662DB" w:rsidRDefault="000662DB" w:rsidP="000662DB">
            <w:pPr>
              <w:jc w:val="both"/>
              <w:rPr>
                <w:rFonts w:ascii="Calibri" w:eastAsia="Calibri" w:hAnsi="Calibri" w:cs="Calibri"/>
                <w:b/>
                <w:sz w:val="20"/>
                <w:szCs w:val="20"/>
              </w:rPr>
            </w:pPr>
            <w:r w:rsidRPr="000662DB">
              <w:rPr>
                <w:rFonts w:ascii="Calibri" w:eastAsia="Calibri" w:hAnsi="Calibri" w:cs="Calibri"/>
                <w:b/>
                <w:sz w:val="20"/>
                <w:szCs w:val="20"/>
              </w:rPr>
              <w:t>Prototypes</w:t>
            </w:r>
          </w:p>
        </w:tc>
        <w:tc>
          <w:tcPr>
            <w:tcW w:w="5883" w:type="dxa"/>
            <w:shd w:val="clear" w:color="auto" w:fill="F2F2F2"/>
          </w:tcPr>
          <w:p w14:paraId="7D73B7FE" w14:textId="77777777" w:rsidR="000662DB" w:rsidRPr="000662DB" w:rsidRDefault="000662DB" w:rsidP="000662DB">
            <w:pPr>
              <w:jc w:val="both"/>
              <w:rPr>
                <w:rFonts w:ascii="Calibri" w:eastAsia="Calibri" w:hAnsi="Calibri" w:cs="Calibri"/>
                <w:b/>
                <w:sz w:val="20"/>
                <w:szCs w:val="20"/>
              </w:rPr>
            </w:pPr>
            <w:r w:rsidRPr="000662DB">
              <w:rPr>
                <w:rFonts w:ascii="Calibri" w:eastAsia="Calibri" w:hAnsi="Calibri" w:cs="Calibri"/>
                <w:b/>
                <w:sz w:val="20"/>
                <w:szCs w:val="20"/>
              </w:rPr>
              <w:t>Administration Considerations</w:t>
            </w:r>
          </w:p>
        </w:tc>
        <w:tc>
          <w:tcPr>
            <w:tcW w:w="2127" w:type="dxa"/>
            <w:shd w:val="clear" w:color="auto" w:fill="F2F2F2"/>
          </w:tcPr>
          <w:p w14:paraId="5B669896" w14:textId="77777777" w:rsidR="000662DB" w:rsidRPr="000662DB" w:rsidRDefault="000662DB" w:rsidP="000662DB">
            <w:pPr>
              <w:rPr>
                <w:rFonts w:ascii="Calibri" w:eastAsia="Calibri" w:hAnsi="Calibri" w:cs="Calibri"/>
                <w:b/>
                <w:sz w:val="20"/>
                <w:szCs w:val="20"/>
              </w:rPr>
            </w:pPr>
            <w:r w:rsidRPr="000662DB">
              <w:rPr>
                <w:rFonts w:ascii="Calibri" w:eastAsia="Calibri" w:hAnsi="Calibri" w:cs="Calibri"/>
                <w:b/>
                <w:sz w:val="20"/>
                <w:szCs w:val="20"/>
              </w:rPr>
              <w:t>Therapeutic Effects</w:t>
            </w:r>
          </w:p>
        </w:tc>
        <w:tc>
          <w:tcPr>
            <w:tcW w:w="3309" w:type="dxa"/>
            <w:shd w:val="clear" w:color="auto" w:fill="F2F2F2"/>
          </w:tcPr>
          <w:p w14:paraId="09F8A283" w14:textId="77777777" w:rsidR="000662DB" w:rsidRPr="000662DB" w:rsidRDefault="000662DB" w:rsidP="000662DB">
            <w:pPr>
              <w:rPr>
                <w:rFonts w:ascii="Calibri" w:eastAsia="Calibri" w:hAnsi="Calibri" w:cs="Calibri"/>
                <w:b/>
                <w:sz w:val="20"/>
                <w:szCs w:val="20"/>
              </w:rPr>
            </w:pPr>
            <w:r w:rsidRPr="000662DB">
              <w:rPr>
                <w:rFonts w:ascii="Calibri" w:eastAsia="Calibri" w:hAnsi="Calibri" w:cs="Calibri"/>
                <w:b/>
                <w:sz w:val="20"/>
                <w:szCs w:val="20"/>
              </w:rPr>
              <w:t>Adverse/</w:t>
            </w:r>
            <w:r w:rsidRPr="000662DB">
              <w:rPr>
                <w:rFonts w:ascii="Calibri" w:eastAsia="Calibri" w:hAnsi="Calibri" w:cs="Calibri"/>
                <w:b/>
                <w:sz w:val="20"/>
                <w:szCs w:val="20"/>
              </w:rPr>
              <w:br/>
              <w:t>Side Effects</w:t>
            </w:r>
          </w:p>
        </w:tc>
      </w:tr>
      <w:tr w:rsidR="000662DB" w:rsidRPr="000662DB" w14:paraId="2577C8CD" w14:textId="77777777" w:rsidTr="001377AA">
        <w:tc>
          <w:tcPr>
            <w:tcW w:w="1743" w:type="dxa"/>
          </w:tcPr>
          <w:p w14:paraId="076AEC41" w14:textId="77777777" w:rsidR="000662DB" w:rsidRPr="000662DB" w:rsidRDefault="000662DB" w:rsidP="000662DB">
            <w:pPr>
              <w:tabs>
                <w:tab w:val="left" w:pos="369"/>
              </w:tabs>
              <w:spacing w:line="0" w:lineRule="atLeast"/>
              <w:rPr>
                <w:rFonts w:ascii="Calibri" w:eastAsia="Calibri" w:hAnsi="Calibri" w:cs="Calibri"/>
                <w:b/>
                <w:sz w:val="20"/>
                <w:szCs w:val="20"/>
              </w:rPr>
            </w:pPr>
            <w:r w:rsidRPr="000662DB">
              <w:rPr>
                <w:rFonts w:ascii="Calibri" w:eastAsia="Calibri" w:hAnsi="Calibri" w:cs="Times New Roman"/>
                <w:sz w:val="20"/>
                <w:szCs w:val="20"/>
              </w:rPr>
              <w:t>Thyroid replacement</w:t>
            </w:r>
          </w:p>
        </w:tc>
        <w:tc>
          <w:tcPr>
            <w:tcW w:w="1554" w:type="dxa"/>
          </w:tcPr>
          <w:p w14:paraId="2BF61D48" w14:textId="77777777" w:rsidR="000662DB" w:rsidRPr="000662DB" w:rsidRDefault="000662DB" w:rsidP="000662DB">
            <w:pPr>
              <w:tabs>
                <w:tab w:val="left" w:pos="369"/>
              </w:tabs>
              <w:spacing w:line="0" w:lineRule="atLeast"/>
              <w:rPr>
                <w:rFonts w:ascii="Calibri" w:eastAsia="Calibri" w:hAnsi="Calibri" w:cs="Calibri"/>
                <w:sz w:val="20"/>
                <w:szCs w:val="20"/>
              </w:rPr>
            </w:pPr>
            <w:r w:rsidRPr="000662DB">
              <w:rPr>
                <w:rFonts w:ascii="Calibri" w:eastAsia="Calibri" w:hAnsi="Calibri" w:cs="Calibri"/>
                <w:sz w:val="20"/>
                <w:szCs w:val="20"/>
              </w:rPr>
              <w:t>levothyroxine</w:t>
            </w:r>
          </w:p>
        </w:tc>
        <w:tc>
          <w:tcPr>
            <w:tcW w:w="5883" w:type="dxa"/>
          </w:tcPr>
          <w:p w14:paraId="1BCE1851" w14:textId="77777777" w:rsidR="000662DB" w:rsidRPr="000662DB" w:rsidRDefault="000662DB" w:rsidP="000662DB">
            <w:pPr>
              <w:numPr>
                <w:ilvl w:val="0"/>
                <w:numId w:val="3"/>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Take levothyroxine sodium tablets with a full glass of water as the tablet may rapidly disintegrate</w:t>
            </w:r>
          </w:p>
          <w:p w14:paraId="4C87A801" w14:textId="77777777" w:rsidR="000662DB" w:rsidRPr="000662DB" w:rsidRDefault="000662DB" w:rsidP="000662DB">
            <w:pPr>
              <w:numPr>
                <w:ilvl w:val="0"/>
                <w:numId w:val="3"/>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levothyroxine as a single daily dose, on an empty stomach, one-half to one hour before breakfast</w:t>
            </w:r>
          </w:p>
          <w:p w14:paraId="0B44FA45" w14:textId="77777777" w:rsidR="000662DB" w:rsidRPr="000662DB" w:rsidRDefault="000662DB" w:rsidP="000662DB">
            <w:pPr>
              <w:numPr>
                <w:ilvl w:val="0"/>
                <w:numId w:val="3"/>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levothyroxine at least 4 hours before or after drugs known to interfere with levothyroxine sodium tablets absorption</w:t>
            </w:r>
          </w:p>
          <w:p w14:paraId="7041DC9D" w14:textId="77777777" w:rsidR="000662DB" w:rsidRPr="000662DB" w:rsidRDefault="000662DB" w:rsidP="000662DB">
            <w:pPr>
              <w:numPr>
                <w:ilvl w:val="0"/>
                <w:numId w:val="3"/>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Anticipate lower dosages in elderly clients with pre-existing cardiac disease</w:t>
            </w:r>
          </w:p>
          <w:p w14:paraId="29B9720A" w14:textId="77777777" w:rsidR="000662DB" w:rsidRPr="000662DB" w:rsidRDefault="000662DB" w:rsidP="000662DB">
            <w:pPr>
              <w:numPr>
                <w:ilvl w:val="0"/>
                <w:numId w:val="3"/>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interact with several medications so read drug label thoroughly on initial administration for potential effects</w:t>
            </w:r>
          </w:p>
        </w:tc>
        <w:tc>
          <w:tcPr>
            <w:tcW w:w="2127" w:type="dxa"/>
          </w:tcPr>
          <w:p w14:paraId="4A58BEF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Increases T4 levels in hypothyroidism</w:t>
            </w:r>
          </w:p>
        </w:tc>
        <w:tc>
          <w:tcPr>
            <w:tcW w:w="3309" w:type="dxa"/>
          </w:tcPr>
          <w:p w14:paraId="49A35263"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Hypersensitivity reactions</w:t>
            </w:r>
          </w:p>
          <w:p w14:paraId="199C8A71"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Cardiac dysrhythmias</w:t>
            </w:r>
          </w:p>
        </w:tc>
      </w:tr>
      <w:tr w:rsidR="000662DB" w:rsidRPr="000662DB" w14:paraId="27A007DE" w14:textId="77777777" w:rsidTr="001377AA">
        <w:tc>
          <w:tcPr>
            <w:tcW w:w="1743" w:type="dxa"/>
          </w:tcPr>
          <w:p w14:paraId="7F5F1957" w14:textId="77777777" w:rsidR="000662DB" w:rsidRPr="000662DB" w:rsidRDefault="000662DB" w:rsidP="000662DB">
            <w:pPr>
              <w:tabs>
                <w:tab w:val="left" w:pos="369"/>
              </w:tabs>
              <w:spacing w:line="0" w:lineRule="atLeast"/>
              <w:rPr>
                <w:rFonts w:ascii="Calibri" w:eastAsia="Calibri" w:hAnsi="Calibri" w:cs="Calibri"/>
                <w:b/>
                <w:sz w:val="20"/>
                <w:szCs w:val="20"/>
              </w:rPr>
            </w:pPr>
            <w:r w:rsidRPr="000662DB">
              <w:rPr>
                <w:rFonts w:ascii="Calibri" w:eastAsia="Calibri" w:hAnsi="Calibri" w:cs="Times New Roman"/>
                <w:sz w:val="20"/>
                <w:szCs w:val="20"/>
              </w:rPr>
              <w:t>Antithyroid</w:t>
            </w:r>
          </w:p>
        </w:tc>
        <w:tc>
          <w:tcPr>
            <w:tcW w:w="1554" w:type="dxa"/>
          </w:tcPr>
          <w:p w14:paraId="7E5C19A2" w14:textId="77777777" w:rsidR="000662DB" w:rsidRPr="000662DB" w:rsidRDefault="000662DB" w:rsidP="000662DB">
            <w:pPr>
              <w:tabs>
                <w:tab w:val="left" w:pos="369"/>
              </w:tabs>
              <w:spacing w:line="0" w:lineRule="atLeast"/>
              <w:rPr>
                <w:rFonts w:ascii="Calibri" w:eastAsia="Calibri" w:hAnsi="Calibri" w:cs="Calibri"/>
                <w:sz w:val="20"/>
                <w:szCs w:val="20"/>
              </w:rPr>
            </w:pPr>
            <w:r w:rsidRPr="000662DB">
              <w:rPr>
                <w:rFonts w:ascii="Calibri" w:eastAsia="Calibri" w:hAnsi="Calibri" w:cs="Calibri"/>
                <w:sz w:val="20"/>
                <w:szCs w:val="20"/>
              </w:rPr>
              <w:t>propylthiouracil</w:t>
            </w:r>
          </w:p>
          <w:p w14:paraId="2E5065F2" w14:textId="77777777" w:rsidR="000662DB" w:rsidRPr="000662DB" w:rsidRDefault="000662DB" w:rsidP="000662DB">
            <w:pPr>
              <w:tabs>
                <w:tab w:val="left" w:pos="369"/>
              </w:tabs>
              <w:spacing w:line="0" w:lineRule="atLeast"/>
              <w:rPr>
                <w:rFonts w:ascii="Calibri" w:eastAsia="Calibri" w:hAnsi="Calibri" w:cs="Calibri"/>
                <w:sz w:val="20"/>
                <w:szCs w:val="20"/>
              </w:rPr>
            </w:pPr>
            <w:r w:rsidRPr="000662DB">
              <w:rPr>
                <w:rFonts w:ascii="Calibri" w:eastAsia="Calibri" w:hAnsi="Calibri" w:cs="Calibri"/>
                <w:sz w:val="20"/>
                <w:szCs w:val="20"/>
              </w:rPr>
              <w:t>(PTU)</w:t>
            </w:r>
          </w:p>
        </w:tc>
        <w:tc>
          <w:tcPr>
            <w:tcW w:w="5883" w:type="dxa"/>
          </w:tcPr>
          <w:p w14:paraId="5D63C5C3"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Usually administered every 8 hours</w:t>
            </w:r>
          </w:p>
          <w:p w14:paraId="57A6A34E"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cause hypothyroidism so TSH and T4 levels should be monitored</w:t>
            </w:r>
          </w:p>
          <w:p w14:paraId="2ED3BC88"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If a client becomes pregnant, immediately notify health care provider because it can cause fetal harm</w:t>
            </w:r>
          </w:p>
        </w:tc>
        <w:tc>
          <w:tcPr>
            <w:tcW w:w="2127" w:type="dxa"/>
          </w:tcPr>
          <w:p w14:paraId="0BF4750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Inhibit production of T4 to treat hyperthyroidism</w:t>
            </w:r>
          </w:p>
        </w:tc>
        <w:tc>
          <w:tcPr>
            <w:tcW w:w="3309" w:type="dxa"/>
          </w:tcPr>
          <w:p w14:paraId="3C3ACCFC"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Hypothyroidism</w:t>
            </w:r>
          </w:p>
          <w:p w14:paraId="36D6BCE9"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Liver failure</w:t>
            </w:r>
          </w:p>
          <w:p w14:paraId="6719F68E"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Agranulocytosis</w:t>
            </w:r>
          </w:p>
          <w:p w14:paraId="6A14A377"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Vasculitis</w:t>
            </w:r>
          </w:p>
          <w:p w14:paraId="34CFEC11"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Fetal harm</w:t>
            </w:r>
          </w:p>
        </w:tc>
      </w:tr>
      <w:tr w:rsidR="000662DB" w:rsidRPr="000662DB" w14:paraId="36EEB4BC" w14:textId="77777777" w:rsidTr="001377AA">
        <w:tc>
          <w:tcPr>
            <w:tcW w:w="1743" w:type="dxa"/>
          </w:tcPr>
          <w:p w14:paraId="415A9243" w14:textId="77777777" w:rsidR="000662DB" w:rsidRPr="000662DB" w:rsidRDefault="000662DB" w:rsidP="000662DB">
            <w:pPr>
              <w:tabs>
                <w:tab w:val="left" w:pos="369"/>
              </w:tabs>
              <w:spacing w:line="0" w:lineRule="atLeast"/>
              <w:rPr>
                <w:rFonts w:ascii="Calibri" w:eastAsia="Calibri" w:hAnsi="Calibri" w:cs="Calibri"/>
                <w:b/>
                <w:sz w:val="20"/>
                <w:szCs w:val="20"/>
              </w:rPr>
            </w:pPr>
            <w:r w:rsidRPr="000662DB">
              <w:rPr>
                <w:rFonts w:ascii="Calibri" w:eastAsia="Calibri" w:hAnsi="Calibri" w:cs="Times New Roman"/>
                <w:sz w:val="20"/>
                <w:szCs w:val="20"/>
              </w:rPr>
              <w:t>Calcium regulator</w:t>
            </w:r>
          </w:p>
        </w:tc>
        <w:tc>
          <w:tcPr>
            <w:tcW w:w="1554" w:type="dxa"/>
          </w:tcPr>
          <w:p w14:paraId="4AA9DA2C" w14:textId="77777777" w:rsidR="000662DB" w:rsidRPr="000662DB" w:rsidRDefault="000662DB" w:rsidP="000662DB">
            <w:pPr>
              <w:tabs>
                <w:tab w:val="left" w:pos="369"/>
              </w:tabs>
              <w:spacing w:line="0" w:lineRule="atLeast"/>
              <w:rPr>
                <w:rFonts w:ascii="Calibri" w:eastAsia="Calibri" w:hAnsi="Calibri" w:cs="Calibri"/>
                <w:sz w:val="20"/>
                <w:szCs w:val="20"/>
              </w:rPr>
            </w:pPr>
            <w:r w:rsidRPr="000662DB">
              <w:rPr>
                <w:rFonts w:ascii="Calibri" w:eastAsia="Calibri" w:hAnsi="Calibri" w:cs="Calibri"/>
                <w:sz w:val="20"/>
                <w:szCs w:val="20"/>
              </w:rPr>
              <w:t>calcitonin</w:t>
            </w:r>
          </w:p>
        </w:tc>
        <w:tc>
          <w:tcPr>
            <w:tcW w:w="5883" w:type="dxa"/>
          </w:tcPr>
          <w:p w14:paraId="7123AEE9"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 nasal spray with one spray in one side of the nose daily</w:t>
            </w:r>
          </w:p>
          <w:p w14:paraId="00FA1430"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Contraindicated during pregnancy</w:t>
            </w:r>
          </w:p>
          <w:p w14:paraId="14E52C83"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Discard unrefrigerated bottle after 30 days of opening</w:t>
            </w:r>
          </w:p>
          <w:p w14:paraId="36E96479"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May store unopened bottles in refrigerator until expiration date</w:t>
            </w:r>
          </w:p>
        </w:tc>
        <w:tc>
          <w:tcPr>
            <w:tcW w:w="2127" w:type="dxa"/>
          </w:tcPr>
          <w:p w14:paraId="32C054D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Treats osteoporosis</w:t>
            </w:r>
          </w:p>
        </w:tc>
        <w:tc>
          <w:tcPr>
            <w:tcW w:w="3309" w:type="dxa"/>
          </w:tcPr>
          <w:p w14:paraId="17841E18"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Serious hypersensitivity reactions (bronchospasm, swelling of the tongue or throat, anaphylaxis, and anaphylactic shock)</w:t>
            </w:r>
          </w:p>
          <w:p w14:paraId="42832B9A"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Hypocalcemia</w:t>
            </w:r>
          </w:p>
          <w:p w14:paraId="3D2C8538"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Nasal mucosa adverse effects</w:t>
            </w:r>
          </w:p>
          <w:p w14:paraId="6FFF79C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Malignancy</w:t>
            </w:r>
          </w:p>
        </w:tc>
      </w:tr>
      <w:tr w:rsidR="000662DB" w:rsidRPr="000662DB" w14:paraId="06B862E2" w14:textId="77777777" w:rsidTr="001377AA">
        <w:tc>
          <w:tcPr>
            <w:tcW w:w="1743" w:type="dxa"/>
          </w:tcPr>
          <w:p w14:paraId="7E985F0B" w14:textId="77777777" w:rsidR="000662DB" w:rsidRPr="000662DB" w:rsidRDefault="000662DB" w:rsidP="000662DB">
            <w:pPr>
              <w:tabs>
                <w:tab w:val="left" w:pos="369"/>
              </w:tabs>
              <w:spacing w:line="0" w:lineRule="atLeast"/>
              <w:rPr>
                <w:rFonts w:ascii="Calibri" w:eastAsia="Calibri" w:hAnsi="Calibri" w:cs="Times New Roman"/>
                <w:sz w:val="20"/>
                <w:szCs w:val="20"/>
              </w:rPr>
            </w:pPr>
            <w:r w:rsidRPr="000662DB">
              <w:rPr>
                <w:rFonts w:ascii="Calibri" w:eastAsia="Calibri" w:hAnsi="Calibri" w:cs="Times New Roman"/>
                <w:sz w:val="20"/>
                <w:szCs w:val="20"/>
              </w:rPr>
              <w:t>Bisphosphonates</w:t>
            </w:r>
          </w:p>
        </w:tc>
        <w:tc>
          <w:tcPr>
            <w:tcW w:w="1554" w:type="dxa"/>
          </w:tcPr>
          <w:p w14:paraId="36832587" w14:textId="77777777" w:rsidR="000662DB" w:rsidRPr="000662DB" w:rsidRDefault="000662DB" w:rsidP="000662DB">
            <w:pPr>
              <w:tabs>
                <w:tab w:val="left" w:pos="369"/>
              </w:tabs>
              <w:spacing w:line="0" w:lineRule="atLeast"/>
              <w:rPr>
                <w:rFonts w:ascii="Calibri" w:eastAsia="Calibri" w:hAnsi="Calibri" w:cs="Calibri"/>
                <w:sz w:val="20"/>
                <w:szCs w:val="20"/>
              </w:rPr>
            </w:pPr>
            <w:r w:rsidRPr="000662DB">
              <w:rPr>
                <w:rFonts w:ascii="Calibri" w:eastAsia="Calibri" w:hAnsi="Calibri" w:cs="Calibri"/>
                <w:sz w:val="20"/>
                <w:szCs w:val="20"/>
              </w:rPr>
              <w:t>alendronate</w:t>
            </w:r>
          </w:p>
        </w:tc>
        <w:tc>
          <w:tcPr>
            <w:tcW w:w="5883" w:type="dxa"/>
          </w:tcPr>
          <w:p w14:paraId="604381AF"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Administered upon arising and at least one-half hour before the first food, beverage, or medication of the day with plain water only</w:t>
            </w:r>
          </w:p>
          <w:p w14:paraId="18D30805"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The client should sit or stand for 30 minutes after administration</w:t>
            </w:r>
          </w:p>
          <w:p w14:paraId="72E75B70"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Contraindicated in pregnancy, hypocalcemia, and kidney disease</w:t>
            </w:r>
          </w:p>
          <w:p w14:paraId="30ABDDA9" w14:textId="77777777" w:rsidR="000662DB" w:rsidRPr="000662DB" w:rsidRDefault="000662DB" w:rsidP="000662DB">
            <w:pPr>
              <w:numPr>
                <w:ilvl w:val="0"/>
                <w:numId w:val="4"/>
              </w:numPr>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Concurrent calcium and vitamin D supplements may be required</w:t>
            </w:r>
          </w:p>
        </w:tc>
        <w:tc>
          <w:tcPr>
            <w:tcW w:w="2127" w:type="dxa"/>
          </w:tcPr>
          <w:p w14:paraId="4C636D8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Enhances bone mineral density in osteoporosis</w:t>
            </w:r>
          </w:p>
        </w:tc>
        <w:tc>
          <w:tcPr>
            <w:tcW w:w="3309" w:type="dxa"/>
          </w:tcPr>
          <w:p w14:paraId="1D6E3C79"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Upper GI tract adverse events</w:t>
            </w:r>
          </w:p>
          <w:p w14:paraId="2912B2AB"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Severe musculoskeletal pain</w:t>
            </w:r>
          </w:p>
          <w:p w14:paraId="4D5D1340" w14:textId="77777777" w:rsidR="000662DB" w:rsidRPr="000662DB" w:rsidRDefault="000662DB" w:rsidP="000662DB">
            <w:pPr>
              <w:numPr>
                <w:ilvl w:val="0"/>
                <w:numId w:val="1"/>
              </w:numPr>
              <w:tabs>
                <w:tab w:val="left" w:pos="369"/>
              </w:tabs>
              <w:spacing w:line="0" w:lineRule="atLeast"/>
              <w:contextualSpacing/>
              <w:rPr>
                <w:rFonts w:ascii="Calibri" w:eastAsia="Times New Roman" w:hAnsi="Calibri" w:cs="Calibri"/>
                <w:sz w:val="20"/>
                <w:szCs w:val="20"/>
                <w:lang w:val="en-US"/>
              </w:rPr>
            </w:pPr>
            <w:r w:rsidRPr="000662DB">
              <w:rPr>
                <w:rFonts w:ascii="Calibri" w:eastAsia="Times New Roman" w:hAnsi="Calibri" w:cs="Calibri"/>
                <w:sz w:val="20"/>
                <w:szCs w:val="20"/>
                <w:lang w:val="en-US"/>
              </w:rPr>
              <w:t>Risk of osteonecrosis of the jaw</w:t>
            </w:r>
          </w:p>
        </w:tc>
      </w:tr>
    </w:tbl>
    <w:p w14:paraId="6AB62967" w14:textId="77777777" w:rsidR="000662DB" w:rsidRPr="000662DB" w:rsidRDefault="000662DB" w:rsidP="000662DB">
      <w:pPr>
        <w:spacing w:after="0" w:line="240" w:lineRule="auto"/>
        <w:ind w:firstLine="720"/>
        <w:rPr>
          <w:rFonts w:ascii="Calibri" w:eastAsia="Calibri" w:hAnsi="Calibri" w:cs="Times New Roman"/>
          <w:bCs/>
        </w:rPr>
      </w:pPr>
    </w:p>
    <w:p w14:paraId="695F4230" w14:textId="77777777" w:rsidR="000662DB" w:rsidRPr="000662DB" w:rsidRDefault="000662DB" w:rsidP="000662DB">
      <w:pPr>
        <w:spacing w:after="0" w:line="240" w:lineRule="auto"/>
        <w:ind w:firstLine="720"/>
        <w:rPr>
          <w:rFonts w:ascii="Calibri" w:eastAsia="Calibri" w:hAnsi="Calibri" w:cs="Times New Roman"/>
          <w:bCs/>
        </w:rPr>
      </w:pPr>
    </w:p>
    <w:p w14:paraId="067B0940" w14:textId="77777777" w:rsidR="000662DB" w:rsidRPr="000662DB" w:rsidRDefault="000662DB" w:rsidP="000662DB">
      <w:pPr>
        <w:spacing w:after="0" w:line="240" w:lineRule="auto"/>
        <w:ind w:firstLine="720"/>
        <w:rPr>
          <w:rFonts w:ascii="Calibri" w:eastAsia="Calibri" w:hAnsi="Calibri" w:cs="Times New Roman"/>
          <w:bCs/>
        </w:rPr>
      </w:pPr>
    </w:p>
    <w:p w14:paraId="391E9F9C" w14:textId="77777777" w:rsidR="000662DB" w:rsidRPr="000662DB" w:rsidRDefault="000662DB" w:rsidP="000662DB">
      <w:pPr>
        <w:spacing w:after="0" w:line="240" w:lineRule="auto"/>
        <w:ind w:firstLine="720"/>
        <w:rPr>
          <w:rFonts w:ascii="Calibri" w:eastAsia="Calibri" w:hAnsi="Calibri" w:cs="Times New Roman"/>
          <w:bCs/>
        </w:rPr>
      </w:pPr>
    </w:p>
    <w:p w14:paraId="66DE08D3" w14:textId="77777777" w:rsidR="000662DB" w:rsidRPr="000662DB" w:rsidRDefault="000662DB" w:rsidP="000662DB">
      <w:pPr>
        <w:spacing w:after="0" w:line="240" w:lineRule="auto"/>
        <w:ind w:firstLine="720"/>
        <w:rPr>
          <w:rFonts w:ascii="Calibri" w:eastAsia="Calibri" w:hAnsi="Calibri" w:cs="Times New Roman"/>
          <w:bCs/>
        </w:rPr>
      </w:pPr>
    </w:p>
    <w:p w14:paraId="6F0568BB" w14:textId="77777777" w:rsidR="000662DB" w:rsidRPr="000662DB" w:rsidRDefault="000662DB" w:rsidP="000662DB">
      <w:pPr>
        <w:spacing w:after="0" w:line="240" w:lineRule="auto"/>
        <w:ind w:firstLine="720"/>
        <w:rPr>
          <w:rFonts w:ascii="Calibri" w:eastAsia="Calibri" w:hAnsi="Calibri" w:cs="Times New Roman"/>
          <w:bCs/>
        </w:rPr>
      </w:pPr>
    </w:p>
    <w:p w14:paraId="07EA1D95" w14:textId="77777777" w:rsidR="00273155" w:rsidRDefault="00273155"/>
    <w:sectPr w:rsidR="00273155" w:rsidSect="000662DB">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94C4D"/>
    <w:multiLevelType w:val="hybridMultilevel"/>
    <w:tmpl w:val="D500ED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B60831"/>
    <w:multiLevelType w:val="hybridMultilevel"/>
    <w:tmpl w:val="C0480C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4E0569A"/>
    <w:multiLevelType w:val="hybridMultilevel"/>
    <w:tmpl w:val="11BCD3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C762CA1"/>
    <w:multiLevelType w:val="hybridMultilevel"/>
    <w:tmpl w:val="176AC6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C8D1DA0"/>
    <w:multiLevelType w:val="hybridMultilevel"/>
    <w:tmpl w:val="60CCE1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26B5351"/>
    <w:multiLevelType w:val="hybridMultilevel"/>
    <w:tmpl w:val="46185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43B4C49"/>
    <w:multiLevelType w:val="hybridMultilevel"/>
    <w:tmpl w:val="7F241A9E"/>
    <w:lvl w:ilvl="0" w:tplc="8C4CBA02">
      <w:numFmt w:val="bullet"/>
      <w:lvlText w:val="•"/>
      <w:lvlJc w:val="left"/>
      <w:pPr>
        <w:ind w:left="170" w:hanging="170"/>
      </w:pPr>
      <w:rPr>
        <w:rFonts w:ascii="Calibri" w:eastAsiaTheme="minorHAnsi" w:hAnsi="Calibri" w:hint="default"/>
      </w:rPr>
    </w:lvl>
    <w:lvl w:ilvl="1" w:tplc="10090003">
      <w:start w:val="1"/>
      <w:numFmt w:val="bullet"/>
      <w:lvlText w:val="o"/>
      <w:lvlJc w:val="left"/>
      <w:pPr>
        <w:ind w:left="644"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5924148"/>
    <w:multiLevelType w:val="hybridMultilevel"/>
    <w:tmpl w:val="663EB6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1B7905"/>
    <w:multiLevelType w:val="hybridMultilevel"/>
    <w:tmpl w:val="075CCB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2DB"/>
    <w:rsid w:val="000662DB"/>
    <w:rsid w:val="002731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D321"/>
  <w15:chartTrackingRefBased/>
  <w15:docId w15:val="{BF051AB4-272D-4E53-A7F4-CF81B976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0662DB"/>
    <w:pPr>
      <w:spacing w:after="0" w:line="240" w:lineRule="auto"/>
      <w:ind w:firstLine="720"/>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6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1418</Words>
  <Characters>8085</Characters>
  <Application>Microsoft Office Word</Application>
  <DocSecurity>0</DocSecurity>
  <Lines>67</Lines>
  <Paragraphs>18</Paragraphs>
  <ScaleCrop>false</ScaleCrop>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Gill</dc:creator>
  <cp:keywords/>
  <dc:description/>
  <cp:lastModifiedBy>Manu Gill</cp:lastModifiedBy>
  <cp:revision>1</cp:revision>
  <dcterms:created xsi:type="dcterms:W3CDTF">2022-01-13T00:23:00Z</dcterms:created>
  <dcterms:modified xsi:type="dcterms:W3CDTF">2022-01-13T00:27:00Z</dcterms:modified>
</cp:coreProperties>
</file>