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7340" w14:textId="7C26E8B2" w:rsidR="005849CF" w:rsidRDefault="005849CF" w:rsidP="001734FD">
      <w:pPr>
        <w:pStyle w:val="Title"/>
      </w:pPr>
      <w:r w:rsidRPr="00ED01CF">
        <w:t>Readin</w:t>
      </w:r>
      <w:bookmarkStart w:id="0" w:name="_GoBack"/>
      <w:bookmarkEnd w:id="0"/>
      <w:r w:rsidRPr="00ED01CF">
        <w:t>g Group Selections and Discussion Prompts</w:t>
      </w:r>
    </w:p>
    <w:p w14:paraId="5830AF77" w14:textId="1A3B3FDF" w:rsidR="00ED01CF" w:rsidRPr="001C0640" w:rsidRDefault="001734FD" w:rsidP="00ED01CF">
      <w:pPr>
        <w:jc w:val="center"/>
        <w:rPr>
          <w:rFonts w:asciiTheme="minorHAnsi" w:hAnsiTheme="minorHAnsi"/>
          <w:i/>
          <w:sz w:val="20"/>
          <w:szCs w:val="20"/>
        </w:rPr>
      </w:pPr>
      <w:bookmarkStart w:id="1" w:name="_Hlk518381763"/>
      <w:bookmarkStart w:id="2" w:name="_Hlk518380646"/>
      <w:r w:rsidRPr="001C0640">
        <w:rPr>
          <w:rFonts w:asciiTheme="minorHAnsi" w:hAnsiTheme="minorHAnsi"/>
          <w:i/>
          <w:sz w:val="20"/>
          <w:szCs w:val="20"/>
        </w:rPr>
        <w:t xml:space="preserve">Source: </w:t>
      </w:r>
      <w:r w:rsidR="00ED01CF" w:rsidRPr="001C0640">
        <w:rPr>
          <w:rFonts w:asciiTheme="minorHAnsi" w:hAnsiTheme="minorHAnsi"/>
          <w:i/>
          <w:sz w:val="20"/>
          <w:szCs w:val="20"/>
        </w:rPr>
        <w:t>Carl Wieman Science Education Initiative</w:t>
      </w:r>
    </w:p>
    <w:bookmarkEnd w:id="1"/>
    <w:p w14:paraId="0FFF4A18" w14:textId="77777777" w:rsidR="001C0640" w:rsidRDefault="001C0640" w:rsidP="001C0640">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7" w:history="1">
        <w:r w:rsidRPr="00512657">
          <w:rPr>
            <w:rStyle w:val="Hyperlink"/>
            <w:b/>
            <w:sz w:val="20"/>
            <w:szCs w:val="20"/>
          </w:rPr>
          <w:t>https://pressbooks.bccampus.ca/seihandbook/chapter/supplemental-documents/</w:t>
        </w:r>
      </w:hyperlink>
    </w:p>
    <w:p w14:paraId="688CAC86" w14:textId="3CBBE9A6" w:rsidR="00ED01CF" w:rsidRPr="00D906FA" w:rsidRDefault="00ED01CF" w:rsidP="00ED01CF">
      <w:pPr>
        <w:jc w:val="center"/>
        <w:rPr>
          <w:rFonts w:asciiTheme="minorHAnsi" w:hAnsiTheme="minorHAnsi"/>
          <w:b/>
          <w:sz w:val="20"/>
          <w:szCs w:val="20"/>
        </w:rPr>
      </w:pPr>
    </w:p>
    <w:bookmarkEnd w:id="2"/>
    <w:p w14:paraId="4E2A4913" w14:textId="77777777" w:rsidR="00ED01CF" w:rsidRPr="00ED01CF" w:rsidRDefault="00ED01CF" w:rsidP="00ED01CF"/>
    <w:p w14:paraId="4E7F0895" w14:textId="4C142368" w:rsidR="005849CF" w:rsidRPr="00ED01CF" w:rsidRDefault="005849CF" w:rsidP="005849CF">
      <w:pPr>
        <w:rPr>
          <w:rFonts w:asciiTheme="majorHAnsi" w:hAnsiTheme="majorHAnsi" w:cstheme="majorHAnsi"/>
          <w:szCs w:val="22"/>
        </w:rPr>
      </w:pPr>
      <w:r w:rsidRPr="00ED01CF">
        <w:rPr>
          <w:rFonts w:asciiTheme="majorHAnsi" w:hAnsiTheme="majorHAnsi" w:cstheme="majorHAnsi"/>
          <w:szCs w:val="22"/>
        </w:rPr>
        <w:t xml:space="preserve">Everyone involved </w:t>
      </w:r>
      <w:r w:rsidR="004203FB">
        <w:rPr>
          <w:rFonts w:asciiTheme="majorHAnsi" w:hAnsiTheme="majorHAnsi" w:cstheme="majorHAnsi"/>
          <w:szCs w:val="22"/>
        </w:rPr>
        <w:t>in</w:t>
      </w:r>
      <w:r w:rsidRPr="00ED01CF">
        <w:rPr>
          <w:rFonts w:asciiTheme="majorHAnsi" w:hAnsiTheme="majorHAnsi" w:cstheme="majorHAnsi"/>
          <w:szCs w:val="22"/>
        </w:rPr>
        <w:t xml:space="preserve"> the SEI</w:t>
      </w:r>
      <w:r w:rsidR="004203FB">
        <w:rPr>
          <w:rFonts w:asciiTheme="majorHAnsi" w:hAnsiTheme="majorHAnsi" w:cstheme="majorHAnsi"/>
          <w:szCs w:val="22"/>
        </w:rPr>
        <w:t>, particularly the DBESs,</w:t>
      </w:r>
      <w:r w:rsidRPr="00ED01CF">
        <w:rPr>
          <w:rFonts w:asciiTheme="majorHAnsi" w:hAnsiTheme="majorHAnsi" w:cstheme="majorHAnsi"/>
          <w:szCs w:val="22"/>
        </w:rPr>
        <w:t xml:space="preserve"> had some need to stay current with the existing literature in science education</w:t>
      </w:r>
      <w:r w:rsidR="001734FD">
        <w:rPr>
          <w:rFonts w:asciiTheme="majorHAnsi" w:hAnsiTheme="majorHAnsi" w:cstheme="majorHAnsi"/>
          <w:szCs w:val="22"/>
        </w:rPr>
        <w:t xml:space="preserve">. </w:t>
      </w:r>
      <w:r w:rsidRPr="00ED01CF">
        <w:rPr>
          <w:rFonts w:asciiTheme="majorHAnsi" w:hAnsiTheme="majorHAnsi" w:cstheme="majorHAnsi"/>
          <w:szCs w:val="22"/>
        </w:rPr>
        <w:t xml:space="preserve">A </w:t>
      </w:r>
      <w:r w:rsidR="004203FB">
        <w:rPr>
          <w:rFonts w:asciiTheme="majorHAnsi" w:hAnsiTheme="majorHAnsi" w:cstheme="majorHAnsi"/>
          <w:szCs w:val="22"/>
        </w:rPr>
        <w:t>‘</w:t>
      </w:r>
      <w:r w:rsidRPr="00ED01CF">
        <w:rPr>
          <w:rFonts w:asciiTheme="majorHAnsi" w:hAnsiTheme="majorHAnsi" w:cstheme="majorHAnsi"/>
          <w:szCs w:val="22"/>
        </w:rPr>
        <w:t>Reading Group</w:t>
      </w:r>
      <w:r w:rsidR="004203FB">
        <w:rPr>
          <w:rFonts w:asciiTheme="majorHAnsi" w:hAnsiTheme="majorHAnsi" w:cstheme="majorHAnsi"/>
          <w:szCs w:val="22"/>
        </w:rPr>
        <w:t>’</w:t>
      </w:r>
      <w:r w:rsidRPr="00ED01CF">
        <w:rPr>
          <w:rFonts w:asciiTheme="majorHAnsi" w:hAnsiTheme="majorHAnsi" w:cstheme="majorHAnsi"/>
          <w:szCs w:val="22"/>
        </w:rPr>
        <w:t xml:space="preserve"> was established as a required activity for the DBES group</w:t>
      </w:r>
      <w:r w:rsidR="004203FB">
        <w:rPr>
          <w:rFonts w:asciiTheme="majorHAnsi" w:hAnsiTheme="majorHAnsi" w:cstheme="majorHAnsi"/>
          <w:szCs w:val="22"/>
        </w:rPr>
        <w:t>,</w:t>
      </w:r>
      <w:r w:rsidRPr="00ED01CF">
        <w:rPr>
          <w:rFonts w:asciiTheme="majorHAnsi" w:hAnsiTheme="majorHAnsi" w:cstheme="majorHAnsi"/>
          <w:szCs w:val="22"/>
        </w:rPr>
        <w:t xml:space="preserve"> but interested facult</w:t>
      </w:r>
      <w:r w:rsidR="001734FD">
        <w:rPr>
          <w:rFonts w:asciiTheme="majorHAnsi" w:hAnsiTheme="majorHAnsi" w:cstheme="majorHAnsi"/>
          <w:szCs w:val="22"/>
        </w:rPr>
        <w:t>y were invited to participate</w:t>
      </w:r>
      <w:r w:rsidR="001C0640">
        <w:rPr>
          <w:rFonts w:asciiTheme="majorHAnsi" w:hAnsiTheme="majorHAnsi" w:cstheme="majorHAnsi"/>
          <w:szCs w:val="22"/>
        </w:rPr>
        <w:t xml:space="preserve"> as well</w:t>
      </w:r>
      <w:r w:rsidR="001734FD">
        <w:rPr>
          <w:rFonts w:asciiTheme="majorHAnsi" w:hAnsiTheme="majorHAnsi" w:cstheme="majorHAnsi"/>
          <w:szCs w:val="22"/>
        </w:rPr>
        <w:t>.</w:t>
      </w:r>
      <w:r w:rsidR="00B760E9">
        <w:rPr>
          <w:rFonts w:asciiTheme="majorHAnsi" w:hAnsiTheme="majorHAnsi" w:cstheme="majorHAnsi"/>
          <w:szCs w:val="22"/>
        </w:rPr>
        <w:t xml:space="preserve"> This document describes the topics and format of those reading group meetings.</w:t>
      </w:r>
    </w:p>
    <w:p w14:paraId="5F6B7E96" w14:textId="77777777" w:rsidR="004203FB" w:rsidRDefault="004203FB" w:rsidP="005849CF">
      <w:pPr>
        <w:rPr>
          <w:rFonts w:asciiTheme="majorHAnsi" w:hAnsiTheme="majorHAnsi" w:cstheme="majorHAnsi"/>
          <w:szCs w:val="22"/>
        </w:rPr>
      </w:pPr>
    </w:p>
    <w:p w14:paraId="6315D01D" w14:textId="158D8201" w:rsidR="00B760E9" w:rsidRPr="00B760E9" w:rsidRDefault="00B760E9" w:rsidP="00B760E9">
      <w:pPr>
        <w:pStyle w:val="Heading1"/>
      </w:pPr>
      <w:r w:rsidRPr="00B760E9">
        <w:t>Reading group format</w:t>
      </w:r>
    </w:p>
    <w:p w14:paraId="56DDC9A4" w14:textId="77777777" w:rsidR="00B760E9" w:rsidRDefault="00B760E9" w:rsidP="005849CF">
      <w:pPr>
        <w:rPr>
          <w:rFonts w:asciiTheme="majorHAnsi" w:hAnsiTheme="majorHAnsi" w:cstheme="majorHAnsi"/>
          <w:szCs w:val="22"/>
        </w:rPr>
      </w:pPr>
    </w:p>
    <w:p w14:paraId="7A792E04" w14:textId="3AE23106" w:rsidR="005849CF" w:rsidRDefault="005849CF" w:rsidP="005849CF">
      <w:pPr>
        <w:rPr>
          <w:rFonts w:asciiTheme="majorHAnsi" w:hAnsiTheme="majorHAnsi" w:cstheme="majorHAnsi"/>
          <w:szCs w:val="22"/>
        </w:rPr>
      </w:pPr>
      <w:r w:rsidRPr="00ED01CF">
        <w:rPr>
          <w:rFonts w:asciiTheme="majorHAnsi" w:hAnsiTheme="majorHAnsi" w:cstheme="majorHAnsi"/>
          <w:szCs w:val="22"/>
        </w:rPr>
        <w:t xml:space="preserve">The typical approach for </w:t>
      </w:r>
      <w:r w:rsidR="00C7184F">
        <w:rPr>
          <w:rFonts w:asciiTheme="majorHAnsi" w:hAnsiTheme="majorHAnsi" w:cstheme="majorHAnsi"/>
          <w:szCs w:val="22"/>
        </w:rPr>
        <w:t xml:space="preserve">discussing </w:t>
      </w:r>
      <w:r w:rsidRPr="00ED01CF">
        <w:rPr>
          <w:rFonts w:asciiTheme="majorHAnsi" w:hAnsiTheme="majorHAnsi" w:cstheme="majorHAnsi"/>
          <w:szCs w:val="22"/>
        </w:rPr>
        <w:t>a paper would be: post the reading (link or attachment</w:t>
      </w:r>
      <w:r w:rsidR="00C7184F">
        <w:rPr>
          <w:rFonts w:asciiTheme="majorHAnsi" w:hAnsiTheme="majorHAnsi" w:cstheme="majorHAnsi"/>
          <w:szCs w:val="22"/>
        </w:rPr>
        <w:t>;</w:t>
      </w:r>
      <w:r w:rsidRPr="00ED01CF">
        <w:rPr>
          <w:rFonts w:asciiTheme="majorHAnsi" w:hAnsiTheme="majorHAnsi" w:cstheme="majorHAnsi"/>
          <w:szCs w:val="22"/>
        </w:rPr>
        <w:t xml:space="preserve"> may include the abstract in the post text) a week in advance on the group’s mailing list/coordination forum (Basecamp) and</w:t>
      </w:r>
      <w:r w:rsidR="00C7184F">
        <w:rPr>
          <w:rFonts w:asciiTheme="majorHAnsi" w:hAnsiTheme="majorHAnsi" w:cstheme="majorHAnsi"/>
          <w:szCs w:val="22"/>
        </w:rPr>
        <w:t xml:space="preserve"> post</w:t>
      </w:r>
      <w:r w:rsidRPr="00ED01CF">
        <w:rPr>
          <w:rFonts w:asciiTheme="majorHAnsi" w:hAnsiTheme="majorHAnsi" w:cstheme="majorHAnsi"/>
          <w:szCs w:val="22"/>
        </w:rPr>
        <w:t xml:space="preserve"> a reminder a day or two prior </w:t>
      </w:r>
      <w:r w:rsidR="00C7184F">
        <w:rPr>
          <w:rFonts w:asciiTheme="majorHAnsi" w:hAnsiTheme="majorHAnsi" w:cstheme="majorHAnsi"/>
          <w:szCs w:val="22"/>
        </w:rPr>
        <w:t xml:space="preserve">to the meeting </w:t>
      </w:r>
      <w:r w:rsidRPr="00ED01CF">
        <w:rPr>
          <w:rFonts w:asciiTheme="majorHAnsi" w:hAnsiTheme="majorHAnsi" w:cstheme="majorHAnsi"/>
          <w:szCs w:val="22"/>
        </w:rPr>
        <w:t>with some questions for the reader’s consideration</w:t>
      </w:r>
      <w:r w:rsidR="00C7184F">
        <w:rPr>
          <w:rFonts w:asciiTheme="majorHAnsi" w:hAnsiTheme="majorHAnsi" w:cstheme="majorHAnsi"/>
          <w:szCs w:val="22"/>
        </w:rPr>
        <w:t>.</w:t>
      </w:r>
      <w:r w:rsidRPr="00ED01CF">
        <w:rPr>
          <w:rFonts w:asciiTheme="majorHAnsi" w:hAnsiTheme="majorHAnsi" w:cstheme="majorHAnsi"/>
          <w:szCs w:val="22"/>
        </w:rPr>
        <w:t xml:space="preserve"> </w:t>
      </w:r>
      <w:r w:rsidR="00C7184F">
        <w:rPr>
          <w:rFonts w:asciiTheme="majorHAnsi" w:hAnsiTheme="majorHAnsi" w:cstheme="majorHAnsi"/>
          <w:szCs w:val="22"/>
        </w:rPr>
        <w:t>T</w:t>
      </w:r>
      <w:r w:rsidRPr="00ED01CF">
        <w:rPr>
          <w:rFonts w:asciiTheme="majorHAnsi" w:hAnsiTheme="majorHAnsi" w:cstheme="majorHAnsi"/>
          <w:szCs w:val="22"/>
        </w:rPr>
        <w:t xml:space="preserve">hose questions would form the basis </w:t>
      </w:r>
      <w:r w:rsidR="00C7184F">
        <w:rPr>
          <w:rFonts w:asciiTheme="majorHAnsi" w:hAnsiTheme="majorHAnsi" w:cstheme="majorHAnsi"/>
          <w:szCs w:val="22"/>
        </w:rPr>
        <w:t>of</w:t>
      </w:r>
      <w:r w:rsidR="00C7184F" w:rsidRPr="00ED01CF">
        <w:rPr>
          <w:rFonts w:asciiTheme="majorHAnsi" w:hAnsiTheme="majorHAnsi" w:cstheme="majorHAnsi"/>
          <w:szCs w:val="22"/>
        </w:rPr>
        <w:t xml:space="preserve"> </w:t>
      </w:r>
      <w:r w:rsidRPr="00ED01CF">
        <w:rPr>
          <w:rFonts w:asciiTheme="majorHAnsi" w:hAnsiTheme="majorHAnsi" w:cstheme="majorHAnsi"/>
          <w:szCs w:val="22"/>
        </w:rPr>
        <w:t>an hour-long</w:t>
      </w:r>
      <w:r w:rsidR="00C7184F">
        <w:rPr>
          <w:rFonts w:asciiTheme="majorHAnsi" w:hAnsiTheme="majorHAnsi" w:cstheme="majorHAnsi"/>
          <w:szCs w:val="22"/>
        </w:rPr>
        <w:t>,</w:t>
      </w:r>
      <w:r w:rsidRPr="00ED01CF">
        <w:rPr>
          <w:rFonts w:asciiTheme="majorHAnsi" w:hAnsiTheme="majorHAnsi" w:cstheme="majorHAnsi"/>
          <w:szCs w:val="22"/>
        </w:rPr>
        <w:t xml:space="preserve"> in-person discussion for everyone on the list (in practice, the list </w:t>
      </w:r>
      <w:r w:rsidR="00C7184F">
        <w:rPr>
          <w:rFonts w:asciiTheme="majorHAnsi" w:hAnsiTheme="majorHAnsi" w:cstheme="majorHAnsi"/>
          <w:szCs w:val="22"/>
        </w:rPr>
        <w:t>grew</w:t>
      </w:r>
      <w:r w:rsidRPr="00ED01CF">
        <w:rPr>
          <w:rFonts w:asciiTheme="majorHAnsi" w:hAnsiTheme="majorHAnsi" w:cstheme="majorHAnsi"/>
          <w:szCs w:val="22"/>
        </w:rPr>
        <w:t xml:space="preserve"> but the discussion group remained around 10-</w:t>
      </w:r>
      <w:r w:rsidR="001734FD">
        <w:rPr>
          <w:rFonts w:asciiTheme="majorHAnsi" w:hAnsiTheme="majorHAnsi" w:cstheme="majorHAnsi"/>
          <w:szCs w:val="22"/>
        </w:rPr>
        <w:t>15 people in the busier years).</w:t>
      </w:r>
      <w:r w:rsidRPr="00ED01CF">
        <w:rPr>
          <w:rFonts w:asciiTheme="majorHAnsi" w:hAnsiTheme="majorHAnsi" w:cstheme="majorHAnsi"/>
          <w:szCs w:val="22"/>
        </w:rPr>
        <w:t xml:space="preserve"> The questions would help </w:t>
      </w:r>
      <w:r w:rsidR="00C7184F">
        <w:rPr>
          <w:rFonts w:asciiTheme="majorHAnsi" w:hAnsiTheme="majorHAnsi" w:cstheme="majorHAnsi"/>
          <w:szCs w:val="22"/>
        </w:rPr>
        <w:t>start</w:t>
      </w:r>
      <w:r w:rsidR="00C7184F" w:rsidRPr="00ED01CF">
        <w:rPr>
          <w:rFonts w:asciiTheme="majorHAnsi" w:hAnsiTheme="majorHAnsi" w:cstheme="majorHAnsi"/>
          <w:szCs w:val="22"/>
        </w:rPr>
        <w:t xml:space="preserve"> </w:t>
      </w:r>
      <w:r w:rsidRPr="00ED01CF">
        <w:rPr>
          <w:rFonts w:asciiTheme="majorHAnsi" w:hAnsiTheme="majorHAnsi" w:cstheme="majorHAnsi"/>
          <w:szCs w:val="22"/>
        </w:rPr>
        <w:t>the discussion and would serve as a back-up for the facilitator to</w:t>
      </w:r>
      <w:r w:rsidR="001734FD">
        <w:rPr>
          <w:rFonts w:asciiTheme="majorHAnsi" w:hAnsiTheme="majorHAnsi" w:cstheme="majorHAnsi"/>
          <w:szCs w:val="22"/>
        </w:rPr>
        <w:t xml:space="preserve"> help keep it going if needed. </w:t>
      </w:r>
      <w:r w:rsidRPr="00ED01CF">
        <w:rPr>
          <w:rFonts w:asciiTheme="majorHAnsi" w:hAnsiTheme="majorHAnsi" w:cstheme="majorHAnsi"/>
          <w:szCs w:val="22"/>
        </w:rPr>
        <w:t>Discussions were usually informal, though in some cases the facilitator would prepare a brief summary of the paper, especially if there were some technical aspects to review.</w:t>
      </w:r>
    </w:p>
    <w:p w14:paraId="0558E5D0" w14:textId="77777777" w:rsidR="00B760E9" w:rsidRDefault="00B760E9" w:rsidP="005849CF">
      <w:pPr>
        <w:rPr>
          <w:rFonts w:asciiTheme="majorHAnsi" w:hAnsiTheme="majorHAnsi" w:cstheme="majorHAnsi"/>
          <w:szCs w:val="22"/>
        </w:rPr>
      </w:pPr>
    </w:p>
    <w:p w14:paraId="2B03AC2B" w14:textId="7E8604BB" w:rsidR="00B760E9" w:rsidRDefault="00B760E9" w:rsidP="00B760E9">
      <w:pPr>
        <w:rPr>
          <w:rFonts w:asciiTheme="majorHAnsi" w:hAnsiTheme="majorHAnsi" w:cstheme="majorHAnsi"/>
          <w:szCs w:val="22"/>
        </w:rPr>
      </w:pPr>
      <w:r w:rsidRPr="00ED01CF">
        <w:rPr>
          <w:rFonts w:asciiTheme="majorHAnsi" w:hAnsiTheme="majorHAnsi" w:cstheme="majorHAnsi"/>
          <w:szCs w:val="22"/>
        </w:rPr>
        <w:t>Depending on the way that your group is organized, you may be able to share PDFs directly (if this is classified as a form of research group, for example; this will vary by jurisdiction</w:t>
      </w:r>
      <w:r w:rsidR="001C0640">
        <w:rPr>
          <w:rFonts w:asciiTheme="majorHAnsi" w:hAnsiTheme="majorHAnsi" w:cstheme="majorHAnsi"/>
          <w:szCs w:val="22"/>
        </w:rPr>
        <w:t>/country</w:t>
      </w:r>
      <w:r w:rsidRPr="00ED01CF">
        <w:rPr>
          <w:rFonts w:asciiTheme="majorHAnsi" w:hAnsiTheme="majorHAnsi" w:cstheme="majorHAnsi"/>
          <w:szCs w:val="22"/>
        </w:rPr>
        <w:t>) or inste</w:t>
      </w:r>
      <w:r>
        <w:rPr>
          <w:rFonts w:asciiTheme="majorHAnsi" w:hAnsiTheme="majorHAnsi" w:cstheme="majorHAnsi"/>
          <w:szCs w:val="22"/>
        </w:rPr>
        <w:t xml:space="preserve">ad use links to journal sites. </w:t>
      </w:r>
      <w:r w:rsidRPr="00ED01CF">
        <w:rPr>
          <w:rFonts w:asciiTheme="majorHAnsi" w:hAnsiTheme="majorHAnsi" w:cstheme="majorHAnsi"/>
          <w:szCs w:val="22"/>
        </w:rPr>
        <w:t>For in-house items you will likely distribute the file directly.</w:t>
      </w:r>
    </w:p>
    <w:p w14:paraId="46F0C7E9" w14:textId="77777777" w:rsidR="00B760E9" w:rsidRPr="00ED01CF" w:rsidRDefault="00B760E9" w:rsidP="00B760E9">
      <w:pPr>
        <w:rPr>
          <w:rFonts w:asciiTheme="majorHAnsi" w:hAnsiTheme="majorHAnsi" w:cstheme="majorHAnsi"/>
          <w:szCs w:val="22"/>
        </w:rPr>
      </w:pPr>
    </w:p>
    <w:p w14:paraId="1E320AC4" w14:textId="47E8AFE9" w:rsidR="00B760E9" w:rsidRPr="00ED01CF" w:rsidRDefault="00B760E9" w:rsidP="00B760E9">
      <w:pPr>
        <w:rPr>
          <w:rFonts w:asciiTheme="majorHAnsi" w:hAnsiTheme="majorHAnsi" w:cstheme="majorHAnsi"/>
          <w:szCs w:val="22"/>
        </w:rPr>
      </w:pPr>
      <w:r w:rsidRPr="00ED01CF">
        <w:rPr>
          <w:rFonts w:asciiTheme="majorHAnsi" w:hAnsiTheme="majorHAnsi" w:cstheme="majorHAnsi"/>
          <w:szCs w:val="22"/>
        </w:rPr>
        <w:t>On weeks where the group might not meet (e.g., around end of term) and other papers come up that are of interest to the group (including publications from members of the group that you can’t fit in your schedule), th</w:t>
      </w:r>
      <w:r>
        <w:rPr>
          <w:rFonts w:asciiTheme="majorHAnsi" w:hAnsiTheme="majorHAnsi" w:cstheme="majorHAnsi"/>
          <w:szCs w:val="22"/>
        </w:rPr>
        <w:t>e</w:t>
      </w:r>
      <w:r w:rsidRPr="00ED01CF">
        <w:rPr>
          <w:rFonts w:asciiTheme="majorHAnsi" w:hAnsiTheme="majorHAnsi" w:cstheme="majorHAnsi"/>
          <w:szCs w:val="22"/>
        </w:rPr>
        <w:t xml:space="preserve"> mailing list can serve as</w:t>
      </w:r>
      <w:r>
        <w:rPr>
          <w:rFonts w:asciiTheme="majorHAnsi" w:hAnsiTheme="majorHAnsi" w:cstheme="majorHAnsi"/>
          <w:szCs w:val="22"/>
        </w:rPr>
        <w:t xml:space="preserve"> a tool </w:t>
      </w:r>
      <w:r w:rsidRPr="00ED01CF">
        <w:rPr>
          <w:rFonts w:asciiTheme="majorHAnsi" w:hAnsiTheme="majorHAnsi" w:cstheme="majorHAnsi"/>
          <w:szCs w:val="22"/>
        </w:rPr>
        <w:t>to keep people informed.</w:t>
      </w:r>
    </w:p>
    <w:p w14:paraId="70C129A4" w14:textId="77777777" w:rsidR="00B760E9" w:rsidRDefault="00B760E9" w:rsidP="005849CF">
      <w:pPr>
        <w:rPr>
          <w:rFonts w:asciiTheme="majorHAnsi" w:hAnsiTheme="majorHAnsi" w:cstheme="majorHAnsi"/>
          <w:szCs w:val="22"/>
        </w:rPr>
      </w:pPr>
    </w:p>
    <w:p w14:paraId="3D676B25" w14:textId="438639F1" w:rsidR="00B760E9" w:rsidRPr="00B760E9" w:rsidRDefault="00B760E9" w:rsidP="00B760E9">
      <w:pPr>
        <w:pStyle w:val="Heading1"/>
      </w:pPr>
      <w:r w:rsidRPr="00B760E9">
        <w:t>Types of papers</w:t>
      </w:r>
    </w:p>
    <w:p w14:paraId="39E435FB" w14:textId="77777777" w:rsidR="004203FB" w:rsidRDefault="004203FB" w:rsidP="005849CF">
      <w:pPr>
        <w:rPr>
          <w:rFonts w:asciiTheme="majorHAnsi" w:hAnsiTheme="majorHAnsi" w:cstheme="majorHAnsi"/>
          <w:szCs w:val="22"/>
        </w:rPr>
      </w:pPr>
    </w:p>
    <w:p w14:paraId="15E75341" w14:textId="1367F231" w:rsidR="005849CF" w:rsidRPr="00ED01CF" w:rsidRDefault="005849CF" w:rsidP="005849CF">
      <w:pPr>
        <w:rPr>
          <w:rFonts w:asciiTheme="majorHAnsi" w:hAnsiTheme="majorHAnsi" w:cstheme="majorHAnsi"/>
          <w:szCs w:val="22"/>
        </w:rPr>
      </w:pPr>
      <w:r w:rsidRPr="00ED01CF">
        <w:rPr>
          <w:rFonts w:asciiTheme="majorHAnsi" w:hAnsiTheme="majorHAnsi" w:cstheme="majorHAnsi"/>
          <w:szCs w:val="22"/>
        </w:rPr>
        <w:t>There were a few different types of papers, and selections were made based on the interests of the existing cohort and opportunistically depending on what had come out recently in journals.</w:t>
      </w:r>
      <w:r w:rsidR="00BF0651">
        <w:rPr>
          <w:rFonts w:asciiTheme="majorHAnsi" w:hAnsiTheme="majorHAnsi" w:cstheme="majorHAnsi"/>
          <w:szCs w:val="22"/>
        </w:rPr>
        <w:t xml:space="preserve"> Selections in the SEI included:</w:t>
      </w:r>
    </w:p>
    <w:p w14:paraId="6671AB91" w14:textId="426029D7" w:rsidR="005849CF" w:rsidRPr="004203FB" w:rsidRDefault="005849CF" w:rsidP="00744F08">
      <w:pPr>
        <w:pStyle w:val="ListParagraph"/>
        <w:numPr>
          <w:ilvl w:val="0"/>
          <w:numId w:val="1"/>
        </w:numPr>
        <w:spacing w:after="160" w:line="256" w:lineRule="auto"/>
        <w:rPr>
          <w:rFonts w:asciiTheme="majorHAnsi" w:hAnsiTheme="majorHAnsi" w:cstheme="majorHAnsi"/>
          <w:szCs w:val="22"/>
        </w:rPr>
      </w:pPr>
      <w:r w:rsidRPr="004203FB">
        <w:rPr>
          <w:rFonts w:asciiTheme="majorHAnsi" w:hAnsiTheme="majorHAnsi" w:cstheme="majorHAnsi"/>
          <w:b/>
          <w:szCs w:val="22"/>
        </w:rPr>
        <w:t>Must-reads on foundational topics</w:t>
      </w:r>
      <w:r w:rsidRPr="004203FB">
        <w:rPr>
          <w:rFonts w:asciiTheme="majorHAnsi" w:hAnsiTheme="majorHAnsi" w:cstheme="majorHAnsi"/>
          <w:szCs w:val="22"/>
        </w:rPr>
        <w:t>, which would be brought back every few years (either the original paper or a suitable update) for new cohorts; these are listed as “Recommended Paper</w:t>
      </w:r>
      <w:r w:rsidR="00BF0651">
        <w:rPr>
          <w:rFonts w:asciiTheme="majorHAnsi" w:hAnsiTheme="majorHAnsi" w:cstheme="majorHAnsi"/>
          <w:szCs w:val="22"/>
        </w:rPr>
        <w:t>s</w:t>
      </w:r>
      <w:r w:rsidRPr="004203FB">
        <w:rPr>
          <w:rFonts w:asciiTheme="majorHAnsi" w:hAnsiTheme="majorHAnsi" w:cstheme="majorHAnsi"/>
          <w:szCs w:val="22"/>
        </w:rPr>
        <w:t xml:space="preserve">” on the website: </w:t>
      </w:r>
      <w:hyperlink r:id="rId8" w:history="1">
        <w:r w:rsidRPr="004203FB">
          <w:rPr>
            <w:rStyle w:val="Hyperlink"/>
            <w:rFonts w:asciiTheme="majorHAnsi" w:hAnsiTheme="majorHAnsi" w:cstheme="majorHAnsi"/>
            <w:szCs w:val="22"/>
          </w:rPr>
          <w:t>http://www.cwsei.ubc.ca/resources/papers.htm</w:t>
        </w:r>
      </w:hyperlink>
      <w:r w:rsidR="00BF0651" w:rsidRPr="00BF0651">
        <w:rPr>
          <w:rStyle w:val="Hyperlink"/>
          <w:rFonts w:asciiTheme="majorHAnsi" w:hAnsiTheme="majorHAnsi" w:cstheme="majorHAnsi"/>
          <w:color w:val="auto"/>
          <w:szCs w:val="22"/>
          <w:u w:val="none"/>
        </w:rPr>
        <w:t>.</w:t>
      </w:r>
    </w:p>
    <w:p w14:paraId="31CFDA67" w14:textId="607375B6" w:rsidR="005849CF" w:rsidRPr="004203FB" w:rsidRDefault="005849CF" w:rsidP="00744F08">
      <w:pPr>
        <w:pStyle w:val="ListParagraph"/>
        <w:numPr>
          <w:ilvl w:val="0"/>
          <w:numId w:val="1"/>
        </w:numPr>
        <w:spacing w:after="160" w:line="256" w:lineRule="auto"/>
        <w:rPr>
          <w:rFonts w:asciiTheme="majorHAnsi" w:hAnsiTheme="majorHAnsi" w:cstheme="majorHAnsi"/>
          <w:szCs w:val="22"/>
        </w:rPr>
      </w:pPr>
      <w:r w:rsidRPr="004203FB">
        <w:rPr>
          <w:rFonts w:asciiTheme="majorHAnsi" w:hAnsiTheme="majorHAnsi" w:cstheme="majorHAnsi"/>
          <w:b/>
          <w:szCs w:val="22"/>
        </w:rPr>
        <w:t>New results that are accessible and sufficiently interesting to a range of science disciplines</w:t>
      </w:r>
      <w:r w:rsidR="00FB4223">
        <w:rPr>
          <w:rFonts w:asciiTheme="majorHAnsi" w:hAnsiTheme="majorHAnsi" w:cstheme="majorHAnsi"/>
          <w:szCs w:val="22"/>
        </w:rPr>
        <w:t>.</w:t>
      </w:r>
      <w:r w:rsidR="00FB4223" w:rsidRPr="004203FB">
        <w:rPr>
          <w:rFonts w:asciiTheme="majorHAnsi" w:hAnsiTheme="majorHAnsi" w:cstheme="majorHAnsi"/>
          <w:szCs w:val="22"/>
        </w:rPr>
        <w:t xml:space="preserve"> </w:t>
      </w:r>
      <w:r w:rsidR="00FB4223">
        <w:rPr>
          <w:rFonts w:asciiTheme="majorHAnsi" w:hAnsiTheme="majorHAnsi" w:cstheme="majorHAnsi"/>
          <w:szCs w:val="22"/>
        </w:rPr>
        <w:t>T</w:t>
      </w:r>
      <w:r w:rsidR="00FB4223" w:rsidRPr="004203FB">
        <w:rPr>
          <w:rFonts w:asciiTheme="majorHAnsi" w:hAnsiTheme="majorHAnsi" w:cstheme="majorHAnsi"/>
          <w:szCs w:val="22"/>
        </w:rPr>
        <w:t xml:space="preserve">hese </w:t>
      </w:r>
      <w:r w:rsidRPr="004203FB">
        <w:rPr>
          <w:rFonts w:asciiTheme="majorHAnsi" w:hAnsiTheme="majorHAnsi" w:cstheme="majorHAnsi"/>
          <w:szCs w:val="22"/>
        </w:rPr>
        <w:t>could be based in a particular discipline (e.g., biology education) and the discussion group might explore how the ideas could be adap</w:t>
      </w:r>
      <w:r w:rsidR="001734FD" w:rsidRPr="004203FB">
        <w:rPr>
          <w:rFonts w:asciiTheme="majorHAnsi" w:hAnsiTheme="majorHAnsi" w:cstheme="majorHAnsi"/>
          <w:szCs w:val="22"/>
        </w:rPr>
        <w:t xml:space="preserve">ted in their own department. </w:t>
      </w:r>
      <w:r w:rsidRPr="004203FB">
        <w:rPr>
          <w:rFonts w:asciiTheme="majorHAnsi" w:hAnsiTheme="majorHAnsi" w:cstheme="majorHAnsi"/>
          <w:szCs w:val="22"/>
        </w:rPr>
        <w:t>These might also describe a measurement tool that would be useful within the group (a particul</w:t>
      </w:r>
      <w:r w:rsidR="00FB4223">
        <w:rPr>
          <w:rFonts w:asciiTheme="majorHAnsi" w:hAnsiTheme="majorHAnsi" w:cstheme="majorHAnsi"/>
          <w:szCs w:val="22"/>
        </w:rPr>
        <w:t>ar attitude survey or protocol)</w:t>
      </w:r>
      <w:r w:rsidRPr="004203FB">
        <w:rPr>
          <w:rFonts w:asciiTheme="majorHAnsi" w:hAnsiTheme="majorHAnsi" w:cstheme="majorHAnsi"/>
          <w:szCs w:val="22"/>
        </w:rPr>
        <w:t xml:space="preserve"> and/or provide helpful examples of certain kinds of analysis that the group was interested in learning about.</w:t>
      </w:r>
    </w:p>
    <w:p w14:paraId="5EB499F8" w14:textId="77996BF8" w:rsidR="005849CF" w:rsidRPr="00BC5C09" w:rsidRDefault="005849CF" w:rsidP="006466FB">
      <w:pPr>
        <w:pStyle w:val="ListParagraph"/>
        <w:numPr>
          <w:ilvl w:val="0"/>
          <w:numId w:val="1"/>
        </w:numPr>
        <w:spacing w:after="160" w:line="256" w:lineRule="auto"/>
        <w:rPr>
          <w:rFonts w:asciiTheme="majorHAnsi" w:eastAsiaTheme="majorEastAsia" w:hAnsiTheme="majorHAnsi" w:cstheme="majorHAnsi"/>
          <w:color w:val="365F91" w:themeColor="accent1" w:themeShade="BF"/>
          <w:szCs w:val="22"/>
        </w:rPr>
      </w:pPr>
      <w:r w:rsidRPr="00BC5C09">
        <w:rPr>
          <w:rFonts w:asciiTheme="majorHAnsi" w:hAnsiTheme="majorHAnsi" w:cstheme="majorHAnsi"/>
          <w:b/>
          <w:szCs w:val="22"/>
        </w:rPr>
        <w:t>Pre-publication drafts or recent publications from among the group’s members</w:t>
      </w:r>
      <w:r w:rsidR="001734FD" w:rsidRPr="00BC5C09">
        <w:rPr>
          <w:rFonts w:asciiTheme="majorHAnsi" w:hAnsiTheme="majorHAnsi" w:cstheme="majorHAnsi"/>
          <w:szCs w:val="22"/>
        </w:rPr>
        <w:t xml:space="preserve">. </w:t>
      </w:r>
      <w:r w:rsidRPr="00BC5C09">
        <w:rPr>
          <w:rFonts w:asciiTheme="majorHAnsi" w:hAnsiTheme="majorHAnsi" w:cstheme="majorHAnsi"/>
          <w:szCs w:val="22"/>
        </w:rPr>
        <w:t>As projects progressed and reached a stage of publishing articles in journals, Reading Group selections also included the occasional article draft (either pre-submission or under review)</w:t>
      </w:r>
      <w:r w:rsidR="00FB4223" w:rsidRPr="00BC5C09">
        <w:rPr>
          <w:rFonts w:asciiTheme="majorHAnsi" w:hAnsiTheme="majorHAnsi" w:cstheme="majorHAnsi"/>
          <w:szCs w:val="22"/>
        </w:rPr>
        <w:t>,</w:t>
      </w:r>
      <w:r w:rsidRPr="00BC5C09">
        <w:rPr>
          <w:rFonts w:asciiTheme="majorHAnsi" w:hAnsiTheme="majorHAnsi" w:cstheme="majorHAnsi"/>
          <w:szCs w:val="22"/>
        </w:rPr>
        <w:t xml:space="preserve"> </w:t>
      </w:r>
      <w:r w:rsidR="00FB4223" w:rsidRPr="00BC5C09">
        <w:rPr>
          <w:rFonts w:asciiTheme="majorHAnsi" w:hAnsiTheme="majorHAnsi" w:cstheme="majorHAnsi"/>
          <w:szCs w:val="22"/>
        </w:rPr>
        <w:t xml:space="preserve">and </w:t>
      </w:r>
      <w:r w:rsidRPr="00BC5C09">
        <w:rPr>
          <w:rFonts w:asciiTheme="majorHAnsi" w:hAnsiTheme="majorHAnsi" w:cstheme="majorHAnsi"/>
          <w:szCs w:val="22"/>
        </w:rPr>
        <w:t>feedb</w:t>
      </w:r>
      <w:r w:rsidR="001734FD" w:rsidRPr="00BC5C09">
        <w:rPr>
          <w:rFonts w:asciiTheme="majorHAnsi" w:hAnsiTheme="majorHAnsi" w:cstheme="majorHAnsi"/>
          <w:szCs w:val="22"/>
        </w:rPr>
        <w:t xml:space="preserve">ack was sought from the group. </w:t>
      </w:r>
      <w:r w:rsidRPr="00BC5C09">
        <w:rPr>
          <w:rFonts w:asciiTheme="majorHAnsi" w:hAnsiTheme="majorHAnsi" w:cstheme="majorHAnsi"/>
          <w:szCs w:val="22"/>
        </w:rPr>
        <w:t xml:space="preserve">This had the benefit for the group of </w:t>
      </w:r>
      <w:r w:rsidR="00FB4223" w:rsidRPr="00BC5C09">
        <w:rPr>
          <w:rFonts w:asciiTheme="majorHAnsi" w:hAnsiTheme="majorHAnsi" w:cstheme="majorHAnsi"/>
          <w:szCs w:val="22"/>
        </w:rPr>
        <w:t xml:space="preserve">seeing </w:t>
      </w:r>
      <w:r w:rsidRPr="00BC5C09">
        <w:rPr>
          <w:rFonts w:asciiTheme="majorHAnsi" w:hAnsiTheme="majorHAnsi" w:cstheme="majorHAnsi"/>
          <w:szCs w:val="22"/>
        </w:rPr>
        <w:t>a preview of results and hav</w:t>
      </w:r>
      <w:r w:rsidR="00FB4223" w:rsidRPr="00BC5C09">
        <w:rPr>
          <w:rFonts w:asciiTheme="majorHAnsi" w:hAnsiTheme="majorHAnsi" w:cstheme="majorHAnsi"/>
          <w:szCs w:val="22"/>
        </w:rPr>
        <w:t>ing</w:t>
      </w:r>
      <w:r w:rsidRPr="00BC5C09">
        <w:rPr>
          <w:rFonts w:asciiTheme="majorHAnsi" w:hAnsiTheme="majorHAnsi" w:cstheme="majorHAnsi"/>
          <w:szCs w:val="22"/>
        </w:rPr>
        <w:t xml:space="preserve"> discussions about how to write a paper for</w:t>
      </w:r>
      <w:r w:rsidR="001734FD" w:rsidRPr="00BC5C09">
        <w:rPr>
          <w:rFonts w:asciiTheme="majorHAnsi" w:hAnsiTheme="majorHAnsi" w:cstheme="majorHAnsi"/>
          <w:szCs w:val="22"/>
        </w:rPr>
        <w:t xml:space="preserve"> an education-focused journal. </w:t>
      </w:r>
      <w:r w:rsidRPr="00BC5C09">
        <w:rPr>
          <w:rFonts w:asciiTheme="majorHAnsi" w:hAnsiTheme="majorHAnsi" w:cstheme="majorHAnsi"/>
          <w:szCs w:val="22"/>
        </w:rPr>
        <w:t>It was common to make sure that one or more of the authors could attend the in-person discussion session when scheduling one of these</w:t>
      </w:r>
      <w:r w:rsidR="00FB4223" w:rsidRPr="00BC5C09">
        <w:rPr>
          <w:rFonts w:asciiTheme="majorHAnsi" w:hAnsiTheme="majorHAnsi" w:cstheme="majorHAnsi"/>
          <w:szCs w:val="22"/>
        </w:rPr>
        <w:t xml:space="preserve"> meetings</w:t>
      </w:r>
      <w:r w:rsidRPr="00BC5C09">
        <w:rPr>
          <w:rFonts w:asciiTheme="majorHAnsi" w:hAnsiTheme="majorHAnsi" w:cstheme="majorHAnsi"/>
          <w:szCs w:val="22"/>
        </w:rPr>
        <w:t>.</w:t>
      </w:r>
      <w:r w:rsidRPr="00BC5C09">
        <w:rPr>
          <w:rFonts w:asciiTheme="majorHAnsi" w:eastAsiaTheme="majorEastAsia" w:hAnsiTheme="majorHAnsi" w:cstheme="majorHAnsi"/>
          <w:color w:val="365F91" w:themeColor="accent1" w:themeShade="BF"/>
          <w:szCs w:val="22"/>
        </w:rPr>
        <w:br w:type="page"/>
      </w:r>
    </w:p>
    <w:p w14:paraId="459C604D" w14:textId="67CC4CDC" w:rsidR="005849CF" w:rsidRPr="00ED01CF" w:rsidRDefault="004B68B0" w:rsidP="001734FD">
      <w:pPr>
        <w:pStyle w:val="Heading1"/>
        <w:rPr>
          <w:rFonts w:eastAsiaTheme="majorEastAsia"/>
          <w:color w:val="000000" w:themeColor="text1"/>
        </w:rPr>
      </w:pPr>
      <w:r>
        <w:lastRenderedPageBreak/>
        <w:t>Example readings and discussion prompts</w:t>
      </w:r>
    </w:p>
    <w:p w14:paraId="1B15ADC8" w14:textId="77777777" w:rsidR="00C07CCB" w:rsidRDefault="00C07CCB" w:rsidP="0014436F"/>
    <w:p w14:paraId="4A5BEB83" w14:textId="759B137F" w:rsidR="005849CF" w:rsidRPr="00ED01CF" w:rsidRDefault="004B68B0" w:rsidP="004B68B0">
      <w:pPr>
        <w:pStyle w:val="Heading3"/>
        <w:pBdr>
          <w:top w:val="none" w:sz="0" w:space="0" w:color="auto"/>
          <w:left w:val="none" w:sz="0" w:space="0" w:color="auto"/>
          <w:bottom w:val="none" w:sz="0" w:space="0" w:color="auto"/>
          <w:right w:val="none" w:sz="0" w:space="0" w:color="auto"/>
          <w:between w:val="none" w:sz="0" w:space="0" w:color="auto"/>
        </w:pBdr>
      </w:pPr>
      <w:r>
        <w:t>Fixed mindset instructors can demotivate students by comforting them</w:t>
      </w:r>
    </w:p>
    <w:p w14:paraId="5093ED17" w14:textId="5947EF30" w:rsidR="005849CF" w:rsidRPr="00ED01CF"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b/>
          <w:szCs w:val="22"/>
        </w:rPr>
        <w:t xml:space="preserve"> </w:t>
      </w:r>
      <w:r w:rsidR="00DB748E">
        <w:rPr>
          <w:rFonts w:asciiTheme="majorHAnsi" w:hAnsiTheme="majorHAnsi" w:cstheme="majorHAnsi"/>
          <w:b/>
          <w:szCs w:val="22"/>
        </w:rPr>
        <w:t>“It’s ok—</w:t>
      </w:r>
      <w:r w:rsidR="005849CF" w:rsidRPr="00ED01CF">
        <w:rPr>
          <w:rFonts w:asciiTheme="majorHAnsi" w:hAnsiTheme="majorHAnsi" w:cstheme="majorHAnsi"/>
          <w:b/>
          <w:szCs w:val="22"/>
        </w:rPr>
        <w:t>Not everyone can be good at math”: Instructors with an entity theory comfort (and demotivate) students</w:t>
      </w:r>
      <w:r w:rsidR="005849CF" w:rsidRPr="00ED01CF">
        <w:rPr>
          <w:rFonts w:asciiTheme="majorHAnsi" w:hAnsiTheme="majorHAnsi" w:cstheme="majorHAnsi"/>
          <w:szCs w:val="22"/>
        </w:rPr>
        <w:t xml:space="preserve">, by </w:t>
      </w:r>
      <w:proofErr w:type="spellStart"/>
      <w:r w:rsidR="005849CF" w:rsidRPr="00ED01CF">
        <w:rPr>
          <w:rFonts w:asciiTheme="majorHAnsi" w:hAnsiTheme="majorHAnsi" w:cstheme="majorHAnsi"/>
          <w:szCs w:val="22"/>
        </w:rPr>
        <w:t>Aneeta</w:t>
      </w:r>
      <w:proofErr w:type="spellEnd"/>
      <w:r w:rsidR="005849CF" w:rsidRPr="00ED01CF">
        <w:rPr>
          <w:rFonts w:asciiTheme="majorHAnsi" w:hAnsiTheme="majorHAnsi" w:cstheme="majorHAnsi"/>
          <w:szCs w:val="22"/>
        </w:rPr>
        <w:t xml:space="preserve"> Rattan, Catherine Good, and Carol Dweck</w:t>
      </w:r>
    </w:p>
    <w:p w14:paraId="07F3A9CA" w14:textId="77777777" w:rsidR="004B68B0"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2A3A8BC2" w14:textId="7361BF45" w:rsidR="005849CF" w:rsidRDefault="005849CF"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ED01CF">
        <w:rPr>
          <w:rFonts w:asciiTheme="majorHAnsi" w:hAnsiTheme="majorHAnsi" w:cstheme="majorHAnsi"/>
          <w:szCs w:val="22"/>
        </w:rPr>
        <w:t>Abstract:</w:t>
      </w:r>
      <w:r w:rsidR="004B68B0">
        <w:rPr>
          <w:rFonts w:asciiTheme="majorHAnsi" w:hAnsiTheme="majorHAnsi" w:cstheme="majorHAnsi"/>
          <w:szCs w:val="22"/>
        </w:rPr>
        <w:t xml:space="preserve"> </w:t>
      </w:r>
      <w:r w:rsidRPr="00ED01CF">
        <w:rPr>
          <w:rFonts w:asciiTheme="majorHAnsi" w:hAnsiTheme="majorHAnsi" w:cstheme="majorHAnsi"/>
          <w:szCs w:val="22"/>
        </w:rPr>
        <w:t>Can comforting struggling students demotivate them and potentially decrease the pool of students pursuing math related subjects? In Studies 1–3, instructors holding an entity (fixed) theory of math intelligence more readily judged students to have low ability than those holding an incremental (malleable) theory. Studies 2–3 further revealed that those holding an entity (versus incremental) theory were more likely to both comfort students for low math ability and use “kind” strategies unlikely to promote engagement with the field (e.g., assigning less homework). Next, we explored what this comfort-oriented feedback communicated to students, compared with strategy-oriented and control feedback (Study 4). Students responding to comfort-oriented feedback not only perceived the instructor’s entity theory and low expectations, but also reported lowered motivation and lower expectations for their own performance. This research has implications for understanding how pedagogical practices can lock students into low achievement and deplete the math pipeline.</w:t>
      </w:r>
    </w:p>
    <w:p w14:paraId="29C55744" w14:textId="77777777" w:rsidR="004B68B0"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1CC8E34F" w14:textId="0F1A019C" w:rsidR="005849CF" w:rsidRPr="00ED01CF"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61C502F9" w14:textId="77777777" w:rsidR="005849CF" w:rsidRPr="00ED01CF" w:rsidRDefault="005849CF" w:rsidP="00744F08">
      <w:pPr>
        <w:pStyle w:val="ListParagraph"/>
        <w:numPr>
          <w:ilvl w:val="0"/>
          <w:numId w:val="6"/>
        </w:numPr>
        <w:spacing w:after="160" w:line="256" w:lineRule="auto"/>
        <w:rPr>
          <w:rFonts w:asciiTheme="majorHAnsi" w:hAnsiTheme="majorHAnsi" w:cstheme="majorHAnsi"/>
          <w:szCs w:val="22"/>
        </w:rPr>
      </w:pPr>
      <w:r w:rsidRPr="00ED01CF">
        <w:rPr>
          <w:rFonts w:asciiTheme="majorHAnsi" w:hAnsiTheme="majorHAnsi" w:cstheme="majorHAnsi"/>
          <w:szCs w:val="22"/>
        </w:rPr>
        <w:t>How much do you think these same factors/assumptions apply in your discipline?</w:t>
      </w:r>
    </w:p>
    <w:p w14:paraId="5E0FE9EA" w14:textId="77777777" w:rsidR="005849CF" w:rsidRPr="00ED01CF" w:rsidRDefault="005849CF" w:rsidP="00744F08">
      <w:pPr>
        <w:pStyle w:val="ListParagraph"/>
        <w:numPr>
          <w:ilvl w:val="0"/>
          <w:numId w:val="6"/>
        </w:numPr>
        <w:spacing w:after="160" w:line="256" w:lineRule="auto"/>
        <w:rPr>
          <w:rFonts w:asciiTheme="majorHAnsi" w:hAnsiTheme="majorHAnsi" w:cstheme="majorHAnsi"/>
          <w:szCs w:val="22"/>
        </w:rPr>
      </w:pPr>
      <w:r w:rsidRPr="00ED01CF">
        <w:rPr>
          <w:rFonts w:asciiTheme="majorHAnsi" w:hAnsiTheme="majorHAnsi" w:cstheme="majorHAnsi"/>
          <w:szCs w:val="22"/>
        </w:rPr>
        <w:t>Are you aware of this type of comfort-oriented feedback happening in your department?</w:t>
      </w:r>
    </w:p>
    <w:p w14:paraId="5A520639" w14:textId="67B7E25A" w:rsidR="00D12F21" w:rsidRPr="00D54438" w:rsidRDefault="005849CF" w:rsidP="00744F08">
      <w:pPr>
        <w:pStyle w:val="ListParagraph"/>
        <w:numPr>
          <w:ilvl w:val="0"/>
          <w:numId w:val="6"/>
        </w:numPr>
        <w:spacing w:after="160" w:line="256" w:lineRule="auto"/>
        <w:rPr>
          <w:rFonts w:asciiTheme="majorHAnsi" w:hAnsiTheme="majorHAnsi" w:cstheme="majorHAnsi"/>
          <w:szCs w:val="22"/>
        </w:rPr>
      </w:pPr>
      <w:r w:rsidRPr="00ED01CF">
        <w:rPr>
          <w:rFonts w:asciiTheme="majorHAnsi" w:hAnsiTheme="majorHAnsi" w:cstheme="majorHAnsi"/>
          <w:szCs w:val="22"/>
        </w:rPr>
        <w:t>If you observed a faculty member using comfort-oriented feedback such as described in this paper, how might you discuss this with the faculty member?</w:t>
      </w:r>
    </w:p>
    <w:p w14:paraId="48D7904B" w14:textId="62745F0D" w:rsidR="005849CF" w:rsidRPr="00ED01CF" w:rsidRDefault="004B68B0" w:rsidP="004B68B0">
      <w:pPr>
        <w:pStyle w:val="Heading3"/>
        <w:pBdr>
          <w:top w:val="none" w:sz="0" w:space="0" w:color="auto"/>
          <w:left w:val="none" w:sz="0" w:space="0" w:color="auto"/>
          <w:bottom w:val="none" w:sz="0" w:space="0" w:color="auto"/>
          <w:right w:val="none" w:sz="0" w:space="0" w:color="auto"/>
          <w:between w:val="none" w:sz="0" w:space="0" w:color="auto"/>
        </w:pBdr>
      </w:pPr>
      <w:r>
        <w:t>Multiple choice tests exonerated</w:t>
      </w:r>
    </w:p>
    <w:p w14:paraId="344CCB22" w14:textId="77777777" w:rsidR="005849CF" w:rsidRPr="00ED01CF" w:rsidRDefault="005849CF"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4B68B0">
        <w:rPr>
          <w:rFonts w:asciiTheme="majorHAnsi" w:hAnsiTheme="majorHAnsi" w:cstheme="majorHAnsi"/>
          <w:b/>
          <w:szCs w:val="22"/>
        </w:rPr>
        <w:t>"Multiple-Choice Tests Exonerated, at Least of Some Charges: Fostering Test-Induced Learning and Avoiding Test-Induced Forgetting</w:t>
      </w:r>
      <w:r w:rsidRPr="00ED01CF">
        <w:rPr>
          <w:rFonts w:asciiTheme="majorHAnsi" w:hAnsiTheme="majorHAnsi" w:cstheme="majorHAnsi"/>
          <w:szCs w:val="22"/>
        </w:rPr>
        <w:t xml:space="preserve">" by Jeri L. Little, Elizabeth </w:t>
      </w:r>
      <w:proofErr w:type="spellStart"/>
      <w:r w:rsidRPr="00ED01CF">
        <w:rPr>
          <w:rFonts w:asciiTheme="majorHAnsi" w:hAnsiTheme="majorHAnsi" w:cstheme="majorHAnsi"/>
          <w:szCs w:val="22"/>
        </w:rPr>
        <w:t>Ligon</w:t>
      </w:r>
      <w:proofErr w:type="spellEnd"/>
      <w:r w:rsidRPr="00ED01CF">
        <w:rPr>
          <w:rFonts w:asciiTheme="majorHAnsi" w:hAnsiTheme="majorHAnsi" w:cstheme="majorHAnsi"/>
          <w:szCs w:val="22"/>
        </w:rPr>
        <w:t xml:space="preserve"> Bjork, Robert A. Bjork, and </w:t>
      </w:r>
      <w:proofErr w:type="spellStart"/>
      <w:r w:rsidRPr="00ED01CF">
        <w:rPr>
          <w:rFonts w:asciiTheme="majorHAnsi" w:hAnsiTheme="majorHAnsi" w:cstheme="majorHAnsi"/>
          <w:szCs w:val="22"/>
        </w:rPr>
        <w:t>Genna</w:t>
      </w:r>
      <w:proofErr w:type="spellEnd"/>
      <w:r w:rsidRPr="00ED01CF">
        <w:rPr>
          <w:rFonts w:asciiTheme="majorHAnsi" w:hAnsiTheme="majorHAnsi" w:cstheme="majorHAnsi"/>
          <w:szCs w:val="22"/>
        </w:rPr>
        <w:t xml:space="preserve"> </w:t>
      </w:r>
      <w:proofErr w:type="spellStart"/>
      <w:r w:rsidRPr="00ED01CF">
        <w:rPr>
          <w:rFonts w:asciiTheme="majorHAnsi" w:hAnsiTheme="majorHAnsi" w:cstheme="majorHAnsi"/>
          <w:szCs w:val="22"/>
        </w:rPr>
        <w:t>Angello</w:t>
      </w:r>
      <w:proofErr w:type="spellEnd"/>
    </w:p>
    <w:p w14:paraId="256F6AD6" w14:textId="77777777" w:rsidR="004B68B0" w:rsidRDefault="004B68B0" w:rsidP="004B68B0">
      <w:pPr>
        <w:rPr>
          <w:rFonts w:asciiTheme="majorHAnsi" w:hAnsiTheme="majorHAnsi" w:cstheme="majorHAnsi"/>
          <w:szCs w:val="22"/>
        </w:rPr>
      </w:pPr>
    </w:p>
    <w:p w14:paraId="5BA80587" w14:textId="57E9043A" w:rsidR="004B68B0" w:rsidRPr="004B68B0" w:rsidRDefault="004B68B0" w:rsidP="004B68B0">
      <w:pPr>
        <w:rPr>
          <w:rFonts w:asciiTheme="majorHAnsi" w:hAnsiTheme="majorHAnsi" w:cstheme="majorHAnsi"/>
          <w:szCs w:val="22"/>
        </w:rPr>
      </w:pPr>
      <w:r>
        <w:rPr>
          <w:rFonts w:asciiTheme="majorHAnsi" w:hAnsiTheme="majorHAnsi" w:cstheme="majorHAnsi"/>
          <w:szCs w:val="22"/>
        </w:rPr>
        <w:t>Questions for discussion:</w:t>
      </w:r>
    </w:p>
    <w:p w14:paraId="5B7FDD72" w14:textId="1FF2D0DA" w:rsidR="00A24956" w:rsidRPr="00A24956" w:rsidRDefault="005849CF" w:rsidP="00744F08">
      <w:pPr>
        <w:pStyle w:val="ListParagraph"/>
        <w:numPr>
          <w:ilvl w:val="0"/>
          <w:numId w:val="7"/>
        </w:numPr>
        <w:rPr>
          <w:rFonts w:asciiTheme="majorHAnsi" w:hAnsiTheme="majorHAnsi" w:cstheme="majorHAnsi"/>
          <w:szCs w:val="22"/>
        </w:rPr>
      </w:pPr>
      <w:r w:rsidRPr="00A24956">
        <w:rPr>
          <w:rFonts w:asciiTheme="majorHAnsi" w:hAnsiTheme="majorHAnsi" w:cstheme="majorHAnsi"/>
          <w:szCs w:val="22"/>
        </w:rPr>
        <w:t>How would you summarize this paper for a prof in your department?</w:t>
      </w:r>
    </w:p>
    <w:p w14:paraId="495B90C7" w14:textId="6A7F773C" w:rsidR="00A24956" w:rsidRPr="00A24956" w:rsidRDefault="005849CF" w:rsidP="00744F08">
      <w:pPr>
        <w:pStyle w:val="ListParagraph"/>
        <w:numPr>
          <w:ilvl w:val="0"/>
          <w:numId w:val="7"/>
        </w:numPr>
        <w:rPr>
          <w:rFonts w:asciiTheme="majorHAnsi" w:hAnsiTheme="majorHAnsi" w:cstheme="majorHAnsi"/>
          <w:szCs w:val="22"/>
        </w:rPr>
      </w:pPr>
      <w:r w:rsidRPr="00A24956">
        <w:rPr>
          <w:rFonts w:asciiTheme="majorHAnsi" w:hAnsiTheme="majorHAnsi" w:cstheme="majorHAnsi"/>
          <w:szCs w:val="22"/>
        </w:rPr>
        <w:t>Looking at the types of questions asked, how would this relate to the questions in your subject?</w:t>
      </w:r>
    </w:p>
    <w:p w14:paraId="1BF8BB96" w14:textId="356845D3" w:rsidR="00A24956" w:rsidRPr="00A24956" w:rsidRDefault="005849CF" w:rsidP="00744F08">
      <w:pPr>
        <w:pStyle w:val="ListParagraph"/>
        <w:numPr>
          <w:ilvl w:val="0"/>
          <w:numId w:val="7"/>
        </w:numPr>
        <w:rPr>
          <w:rFonts w:asciiTheme="majorHAnsi" w:hAnsiTheme="majorHAnsi" w:cstheme="majorHAnsi"/>
          <w:szCs w:val="22"/>
        </w:rPr>
      </w:pPr>
      <w:r w:rsidRPr="00A24956">
        <w:rPr>
          <w:rFonts w:asciiTheme="majorHAnsi" w:hAnsiTheme="majorHAnsi" w:cstheme="majorHAnsi"/>
          <w:szCs w:val="22"/>
        </w:rPr>
        <w:t>"Properly constructed MCQ" is an important phrase.</w:t>
      </w:r>
    </w:p>
    <w:p w14:paraId="7F0E9A3D" w14:textId="57E70EA1" w:rsidR="00A24956" w:rsidRPr="00A24956" w:rsidRDefault="005849CF" w:rsidP="00744F08">
      <w:pPr>
        <w:pStyle w:val="ListParagraph"/>
        <w:numPr>
          <w:ilvl w:val="1"/>
          <w:numId w:val="7"/>
        </w:numPr>
        <w:rPr>
          <w:rFonts w:asciiTheme="majorHAnsi" w:hAnsiTheme="majorHAnsi" w:cstheme="majorHAnsi"/>
          <w:szCs w:val="22"/>
        </w:rPr>
      </w:pPr>
      <w:r w:rsidRPr="00A24956">
        <w:rPr>
          <w:rFonts w:asciiTheme="majorHAnsi" w:hAnsiTheme="majorHAnsi" w:cstheme="majorHAnsi"/>
          <w:szCs w:val="22"/>
        </w:rPr>
        <w:t>How do people develop MCQ tests in your dept?</w:t>
      </w:r>
    </w:p>
    <w:p w14:paraId="7E328190" w14:textId="5773FFEC" w:rsidR="00A24956" w:rsidRPr="00A24956" w:rsidRDefault="005849CF" w:rsidP="00744F08">
      <w:pPr>
        <w:pStyle w:val="ListParagraph"/>
        <w:numPr>
          <w:ilvl w:val="1"/>
          <w:numId w:val="7"/>
        </w:numPr>
        <w:rPr>
          <w:rFonts w:asciiTheme="majorHAnsi" w:hAnsiTheme="majorHAnsi" w:cstheme="majorHAnsi"/>
          <w:szCs w:val="22"/>
        </w:rPr>
      </w:pPr>
      <w:r w:rsidRPr="00A24956">
        <w:rPr>
          <w:rFonts w:asciiTheme="majorHAnsi" w:hAnsiTheme="majorHAnsi" w:cstheme="majorHAnsi"/>
          <w:szCs w:val="22"/>
        </w:rPr>
        <w:t>How long do they spend on each question?</w:t>
      </w:r>
    </w:p>
    <w:p w14:paraId="3D5C6B77" w14:textId="111F7C2A" w:rsidR="00A24956" w:rsidRPr="00A24956" w:rsidRDefault="005849CF" w:rsidP="00744F08">
      <w:pPr>
        <w:pStyle w:val="ListParagraph"/>
        <w:numPr>
          <w:ilvl w:val="1"/>
          <w:numId w:val="7"/>
        </w:numPr>
        <w:rPr>
          <w:rFonts w:asciiTheme="majorHAnsi" w:hAnsiTheme="majorHAnsi" w:cstheme="majorHAnsi"/>
          <w:szCs w:val="22"/>
        </w:rPr>
      </w:pPr>
      <w:r w:rsidRPr="00A24956">
        <w:rPr>
          <w:rFonts w:asciiTheme="majorHAnsi" w:hAnsiTheme="majorHAnsi" w:cstheme="majorHAnsi"/>
          <w:szCs w:val="22"/>
        </w:rPr>
        <w:t>How could you encourage them to do better and use plausible alternatives?</w:t>
      </w:r>
    </w:p>
    <w:p w14:paraId="0043366B" w14:textId="4288EE2E" w:rsidR="005849CF" w:rsidRPr="00D54438" w:rsidRDefault="005849CF" w:rsidP="00744F08">
      <w:pPr>
        <w:pStyle w:val="ListParagraph"/>
        <w:numPr>
          <w:ilvl w:val="1"/>
          <w:numId w:val="7"/>
        </w:numPr>
        <w:rPr>
          <w:rFonts w:asciiTheme="majorHAnsi" w:hAnsiTheme="majorHAnsi" w:cstheme="majorHAnsi"/>
          <w:szCs w:val="22"/>
        </w:rPr>
      </w:pPr>
      <w:r w:rsidRPr="00A24956">
        <w:rPr>
          <w:rFonts w:asciiTheme="majorHAnsi" w:hAnsiTheme="majorHAnsi" w:cstheme="majorHAnsi"/>
          <w:szCs w:val="22"/>
        </w:rPr>
        <w:t>How does an expert know if an alternative is plausible?</w:t>
      </w:r>
    </w:p>
    <w:p w14:paraId="54D9A83B" w14:textId="51CB38BF" w:rsidR="005849CF" w:rsidRPr="00ED01CF" w:rsidRDefault="004B68B0" w:rsidP="004B68B0">
      <w:pPr>
        <w:pStyle w:val="Heading3"/>
        <w:pBdr>
          <w:top w:val="none" w:sz="0" w:space="0" w:color="auto"/>
          <w:left w:val="none" w:sz="0" w:space="0" w:color="auto"/>
          <w:bottom w:val="none" w:sz="0" w:space="0" w:color="auto"/>
          <w:right w:val="none" w:sz="0" w:space="0" w:color="auto"/>
          <w:between w:val="none" w:sz="0" w:space="0" w:color="auto"/>
        </w:pBdr>
        <w:rPr>
          <w:rFonts w:eastAsiaTheme="majorEastAsia"/>
          <w:color w:val="000000" w:themeColor="text1"/>
        </w:rPr>
      </w:pPr>
      <w:r>
        <w:t>Enhanced memory as a common effect of active learning</w:t>
      </w:r>
    </w:p>
    <w:p w14:paraId="2C485B1A" w14:textId="17773BEE" w:rsidR="004B68B0" w:rsidRDefault="004B68B0" w:rsidP="004B68B0">
      <w:pPr>
        <w:pBdr>
          <w:top w:val="none" w:sz="0" w:space="0" w:color="auto"/>
          <w:left w:val="none" w:sz="0" w:space="0" w:color="auto"/>
          <w:bottom w:val="none" w:sz="0" w:space="0" w:color="auto"/>
          <w:right w:val="none" w:sz="0" w:space="0" w:color="auto"/>
          <w:between w:val="none" w:sz="0" w:space="0" w:color="auto"/>
        </w:pBdr>
        <w:rPr>
          <w:rStyle w:val="Hyperlink"/>
          <w:rFonts w:asciiTheme="majorHAnsi" w:hAnsiTheme="majorHAnsi" w:cstheme="majorHAnsi"/>
          <w:szCs w:val="22"/>
        </w:rPr>
      </w:pPr>
      <w:r w:rsidRPr="004B68B0">
        <w:rPr>
          <w:rFonts w:asciiTheme="majorHAnsi" w:hAnsiTheme="majorHAnsi" w:cstheme="majorHAnsi"/>
          <w:b/>
          <w:szCs w:val="22"/>
        </w:rPr>
        <w:t xml:space="preserve"> “Enhanced Memory as a Common Effect of Active Learning.”</w:t>
      </w:r>
      <w:r w:rsidRPr="00ED01CF">
        <w:rPr>
          <w:rFonts w:asciiTheme="majorHAnsi" w:hAnsiTheme="majorHAnsi" w:cstheme="majorHAnsi"/>
          <w:szCs w:val="22"/>
        </w:rPr>
        <w:t xml:space="preserve"> </w:t>
      </w:r>
      <w:proofErr w:type="spellStart"/>
      <w:r w:rsidRPr="00ED01CF">
        <w:rPr>
          <w:rFonts w:asciiTheme="majorHAnsi" w:hAnsiTheme="majorHAnsi" w:cstheme="majorHAnsi"/>
          <w:szCs w:val="22"/>
        </w:rPr>
        <w:t>Markant</w:t>
      </w:r>
      <w:proofErr w:type="spellEnd"/>
      <w:r w:rsidRPr="00ED01CF">
        <w:rPr>
          <w:rFonts w:asciiTheme="majorHAnsi" w:hAnsiTheme="majorHAnsi" w:cstheme="majorHAnsi"/>
          <w:szCs w:val="22"/>
        </w:rPr>
        <w:t xml:space="preserve">, D. B., Ruggeri, A., </w:t>
      </w:r>
      <w:proofErr w:type="spellStart"/>
      <w:r w:rsidRPr="00ED01CF">
        <w:rPr>
          <w:rFonts w:asciiTheme="majorHAnsi" w:hAnsiTheme="majorHAnsi" w:cstheme="majorHAnsi"/>
          <w:szCs w:val="22"/>
        </w:rPr>
        <w:t>Gureckis</w:t>
      </w:r>
      <w:proofErr w:type="spellEnd"/>
      <w:r w:rsidRPr="00ED01CF">
        <w:rPr>
          <w:rFonts w:asciiTheme="majorHAnsi" w:hAnsiTheme="majorHAnsi" w:cstheme="majorHAnsi"/>
          <w:szCs w:val="22"/>
        </w:rPr>
        <w:t xml:space="preserve">, T. M. and Xu, F. (2016), Mind, Brain, and Education. Available online at </w:t>
      </w:r>
      <w:hyperlink r:id="rId9" w:history="1">
        <w:r w:rsidRPr="00ED01CF">
          <w:rPr>
            <w:rStyle w:val="Hyperlink"/>
            <w:rFonts w:asciiTheme="majorHAnsi" w:hAnsiTheme="majorHAnsi" w:cstheme="majorHAnsi"/>
            <w:szCs w:val="22"/>
          </w:rPr>
          <w:t>http://onlinelibrary.wiley.com/doi/10.1111/mbe.12117/full</w:t>
        </w:r>
      </w:hyperlink>
    </w:p>
    <w:p w14:paraId="5442CF8F" w14:textId="77777777" w:rsidR="004B68B0"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0BC5C0C7" w14:textId="094BC775" w:rsidR="005849CF"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The</w:t>
      </w:r>
      <w:r w:rsidR="005849CF" w:rsidRPr="00ED01CF">
        <w:rPr>
          <w:rFonts w:asciiTheme="majorHAnsi" w:hAnsiTheme="majorHAnsi" w:cstheme="majorHAnsi"/>
          <w:szCs w:val="22"/>
        </w:rPr>
        <w:t xml:space="preserve"> authors "focus on a principle shared by nearly all definitions of active learning: that students should have the opportunity to exert control over the learning experience, including the selection, sequencing, or pacing of new information. We review a broad range of experimental evidence showing that such active control can lead to improvements in various forms of memory (including episodic memory) relative to passive conditions that lack the same opportunity for control, suggesting that enhanced memory may be a common outcome of active learning. Moreover, we show that these enhancements can arise from a number of distinct mechanisms, depending on the kinds of control afforded by an instructional activity."</w:t>
      </w:r>
    </w:p>
    <w:p w14:paraId="6E54D2E1" w14:textId="77777777" w:rsidR="00D54438" w:rsidRPr="00ED01CF"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123FCE1D" w14:textId="48D5B362" w:rsidR="005849CF" w:rsidRPr="00ED01CF"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34D2F019" w14:textId="1D4C2199" w:rsidR="005849CF" w:rsidRPr="00BE5BA5" w:rsidRDefault="005849CF" w:rsidP="00744F08">
      <w:pPr>
        <w:pStyle w:val="ListParagraph"/>
        <w:numPr>
          <w:ilvl w:val="0"/>
          <w:numId w:val="2"/>
        </w:numPr>
        <w:rPr>
          <w:rFonts w:asciiTheme="majorHAnsi" w:hAnsiTheme="majorHAnsi" w:cstheme="majorHAnsi"/>
          <w:szCs w:val="22"/>
        </w:rPr>
      </w:pPr>
      <w:r w:rsidRPr="00BE5BA5">
        <w:rPr>
          <w:rFonts w:asciiTheme="majorHAnsi" w:hAnsiTheme="majorHAnsi" w:cstheme="majorHAnsi"/>
          <w:szCs w:val="22"/>
        </w:rPr>
        <w:lastRenderedPageBreak/>
        <w:t>How do these described mechanisms and results match up with your own experiences (probably as an instructor) of active learning in classrooms?</w:t>
      </w:r>
    </w:p>
    <w:p w14:paraId="1B51C673" w14:textId="7DF65B86" w:rsidR="005849CF" w:rsidRPr="00BE5BA5" w:rsidRDefault="005849CF" w:rsidP="00744F08">
      <w:pPr>
        <w:pStyle w:val="ListParagraph"/>
        <w:numPr>
          <w:ilvl w:val="0"/>
          <w:numId w:val="2"/>
        </w:numPr>
        <w:rPr>
          <w:rFonts w:asciiTheme="majorHAnsi" w:hAnsiTheme="majorHAnsi" w:cstheme="majorHAnsi"/>
          <w:szCs w:val="22"/>
        </w:rPr>
      </w:pPr>
      <w:r w:rsidRPr="00BE5BA5">
        <w:rPr>
          <w:rFonts w:asciiTheme="majorHAnsi" w:hAnsiTheme="majorHAnsi" w:cstheme="majorHAnsi"/>
          <w:szCs w:val="22"/>
        </w:rPr>
        <w:t>How would the instructional choices you've made (e.g., activities developed for use</w:t>
      </w:r>
      <w:r w:rsidR="00BE5BA5">
        <w:rPr>
          <w:rFonts w:asciiTheme="majorHAnsi" w:hAnsiTheme="majorHAnsi" w:cstheme="majorHAnsi"/>
          <w:szCs w:val="22"/>
        </w:rPr>
        <w:t xml:space="preserve"> in class) include examples of ‘active control’</w:t>
      </w:r>
      <w:r w:rsidRPr="00BE5BA5">
        <w:rPr>
          <w:rFonts w:asciiTheme="majorHAnsi" w:hAnsiTheme="majorHAnsi" w:cstheme="majorHAnsi"/>
          <w:szCs w:val="22"/>
        </w:rPr>
        <w:t xml:space="preserve"> for students?</w:t>
      </w:r>
    </w:p>
    <w:p w14:paraId="7FCE311A" w14:textId="58D57B4D" w:rsidR="004B68B0" w:rsidRPr="00D54438" w:rsidRDefault="005849CF" w:rsidP="00744F08">
      <w:pPr>
        <w:pStyle w:val="ListParagraph"/>
        <w:numPr>
          <w:ilvl w:val="0"/>
          <w:numId w:val="2"/>
        </w:numPr>
        <w:rPr>
          <w:rFonts w:asciiTheme="majorHAnsi" w:hAnsiTheme="majorHAnsi" w:cstheme="majorHAnsi"/>
          <w:szCs w:val="22"/>
        </w:rPr>
      </w:pPr>
      <w:r w:rsidRPr="00BE5BA5">
        <w:rPr>
          <w:rFonts w:asciiTheme="majorHAnsi" w:hAnsiTheme="majorHAnsi" w:cstheme="majorHAnsi"/>
          <w:szCs w:val="22"/>
        </w:rPr>
        <w:t>When designing an activity or assignment, are there other goals/expectations that you have for active learning that might complement or be at od</w:t>
      </w:r>
      <w:r w:rsidR="00BE5BA5">
        <w:rPr>
          <w:rFonts w:asciiTheme="majorHAnsi" w:hAnsiTheme="majorHAnsi" w:cstheme="majorHAnsi"/>
          <w:szCs w:val="22"/>
        </w:rPr>
        <w:t>ds with incorporating active control</w:t>
      </w:r>
      <w:r w:rsidRPr="00BE5BA5">
        <w:rPr>
          <w:rFonts w:asciiTheme="majorHAnsi" w:hAnsiTheme="majorHAnsi" w:cstheme="majorHAnsi"/>
          <w:szCs w:val="22"/>
        </w:rPr>
        <w:t>?</w:t>
      </w:r>
    </w:p>
    <w:p w14:paraId="44D6C4FC" w14:textId="0E0F9C5F" w:rsidR="00C07CCB" w:rsidRPr="004B68B0" w:rsidRDefault="004B68B0" w:rsidP="004B68B0">
      <w:pPr>
        <w:pStyle w:val="Heading3"/>
      </w:pPr>
      <w:r w:rsidRPr="004B68B0">
        <w:t>Clickers in smaller classes</w:t>
      </w:r>
    </w:p>
    <w:p w14:paraId="580C4A08" w14:textId="07EEB372" w:rsidR="00C07CCB" w:rsidRPr="00566F24"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4B68B0">
        <w:rPr>
          <w:rFonts w:asciiTheme="majorHAnsi" w:hAnsiTheme="majorHAnsi" w:cstheme="majorHAnsi"/>
          <w:b/>
          <w:szCs w:val="22"/>
        </w:rPr>
        <w:t>“Student Perspectives on Using Clickers in Upper-division Physics Courses.”</w:t>
      </w:r>
      <w:r>
        <w:rPr>
          <w:rFonts w:asciiTheme="majorHAnsi" w:hAnsiTheme="majorHAnsi" w:cstheme="majorHAnsi"/>
          <w:szCs w:val="22"/>
        </w:rPr>
        <w:t xml:space="preserve"> </w:t>
      </w:r>
      <w:r w:rsidR="00C07CCB" w:rsidRPr="00566F24">
        <w:rPr>
          <w:rFonts w:asciiTheme="majorHAnsi" w:hAnsiTheme="majorHAnsi" w:cstheme="majorHAnsi"/>
          <w:szCs w:val="22"/>
        </w:rPr>
        <w:t xml:space="preserve">Perkins, K. K., </w:t>
      </w:r>
      <w:proofErr w:type="spellStart"/>
      <w:r w:rsidR="00C07CCB" w:rsidRPr="00566F24">
        <w:rPr>
          <w:rFonts w:asciiTheme="majorHAnsi" w:hAnsiTheme="majorHAnsi" w:cstheme="majorHAnsi"/>
          <w:szCs w:val="22"/>
        </w:rPr>
        <w:t>Turpen</w:t>
      </w:r>
      <w:proofErr w:type="spellEnd"/>
      <w:r w:rsidR="00C07CCB" w:rsidRPr="00566F24">
        <w:rPr>
          <w:rFonts w:asciiTheme="majorHAnsi" w:hAnsiTheme="majorHAnsi" w:cstheme="majorHAnsi"/>
          <w:szCs w:val="22"/>
        </w:rPr>
        <w:t xml:space="preserve">, C., Sabella, M., Henderson, C., &amp; Singh, C. (2009). (pp. 225–228). </w:t>
      </w:r>
      <w:hyperlink r:id="rId10" w:history="1">
        <w:r w:rsidR="00C07CCB" w:rsidRPr="00BB195C">
          <w:rPr>
            <w:rStyle w:val="Hyperlink"/>
            <w:rFonts w:asciiTheme="majorHAnsi" w:hAnsiTheme="majorHAnsi" w:cstheme="majorHAnsi"/>
            <w:szCs w:val="22"/>
          </w:rPr>
          <w:t>https://doi.org/10.1063/1.3266721</w:t>
        </w:r>
      </w:hyperlink>
    </w:p>
    <w:p w14:paraId="6A80F5A3" w14:textId="0727E807" w:rsidR="00C07CCB"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4B68B0">
        <w:rPr>
          <w:rFonts w:asciiTheme="majorHAnsi" w:hAnsiTheme="majorHAnsi" w:cstheme="majorHAnsi"/>
          <w:b/>
          <w:szCs w:val="22"/>
        </w:rPr>
        <w:t>“The Benefits of Using Clickers in Small-Enrollment Seminar-Style Biology Courses</w:t>
      </w:r>
      <w:r w:rsidRPr="00566F24">
        <w:rPr>
          <w:rFonts w:asciiTheme="majorHAnsi" w:hAnsiTheme="majorHAnsi" w:cstheme="majorHAnsi"/>
          <w:szCs w:val="22"/>
        </w:rPr>
        <w:t>.</w:t>
      </w:r>
      <w:r>
        <w:rPr>
          <w:rFonts w:asciiTheme="majorHAnsi" w:hAnsiTheme="majorHAnsi" w:cstheme="majorHAnsi"/>
          <w:szCs w:val="22"/>
        </w:rPr>
        <w:t xml:space="preserve">” </w:t>
      </w:r>
      <w:r w:rsidR="00C07CCB" w:rsidRPr="00566F24">
        <w:rPr>
          <w:rFonts w:asciiTheme="majorHAnsi" w:hAnsiTheme="majorHAnsi" w:cstheme="majorHAnsi"/>
          <w:szCs w:val="22"/>
        </w:rPr>
        <w:t xml:space="preserve">Smith, M. K., Trujillo, C., &amp; Su, T. T. (2011). CBE—Life Sciences Education, 10(1), 14–17. </w:t>
      </w:r>
      <w:hyperlink r:id="rId11" w:history="1">
        <w:r w:rsidR="00C07CCB" w:rsidRPr="00BB195C">
          <w:rPr>
            <w:rStyle w:val="Hyperlink"/>
            <w:rFonts w:asciiTheme="majorHAnsi" w:hAnsiTheme="majorHAnsi" w:cstheme="majorHAnsi"/>
            <w:szCs w:val="22"/>
          </w:rPr>
          <w:t>https://doi.org/10.1187/cbe.10-09-0114</w:t>
        </w:r>
      </w:hyperlink>
    </w:p>
    <w:p w14:paraId="705C5B28"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222211C8" w14:textId="44077D0A" w:rsidR="00C07CCB" w:rsidRPr="00566F24"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1010F010" w14:textId="6CB7EC5B" w:rsidR="00C07CCB" w:rsidRPr="00566F24" w:rsidRDefault="00C07CCB" w:rsidP="00744F08">
      <w:pPr>
        <w:pStyle w:val="ListParagraph"/>
        <w:numPr>
          <w:ilvl w:val="0"/>
          <w:numId w:val="4"/>
        </w:numPr>
        <w:rPr>
          <w:rFonts w:asciiTheme="majorHAnsi" w:hAnsiTheme="majorHAnsi" w:cstheme="majorHAnsi"/>
          <w:szCs w:val="22"/>
        </w:rPr>
      </w:pPr>
      <w:r w:rsidRPr="00566F24">
        <w:rPr>
          <w:rFonts w:asciiTheme="majorHAnsi" w:hAnsiTheme="majorHAnsi" w:cstheme="majorHAnsi"/>
          <w:szCs w:val="22"/>
        </w:rPr>
        <w:t xml:space="preserve">In both of these papers, the students are quite positive about using clickers in </w:t>
      </w:r>
      <w:r w:rsidR="00DB0AD0" w:rsidRPr="00566F24">
        <w:rPr>
          <w:rFonts w:asciiTheme="majorHAnsi" w:hAnsiTheme="majorHAnsi" w:cstheme="majorHAnsi"/>
          <w:szCs w:val="22"/>
        </w:rPr>
        <w:t>upper</w:t>
      </w:r>
      <w:r w:rsidR="00DB0AD0">
        <w:rPr>
          <w:rFonts w:asciiTheme="majorHAnsi" w:hAnsiTheme="majorHAnsi" w:cstheme="majorHAnsi"/>
          <w:szCs w:val="22"/>
        </w:rPr>
        <w:t>-</w:t>
      </w:r>
      <w:r w:rsidRPr="00566F24">
        <w:rPr>
          <w:rFonts w:asciiTheme="majorHAnsi" w:hAnsiTheme="majorHAnsi" w:cstheme="majorHAnsi"/>
          <w:szCs w:val="22"/>
        </w:rPr>
        <w:t xml:space="preserve">level courses, but the authors caution that these students had experienced interactive engagement using clickers in previous courses. Do you think this might make a big difference (vs. if students didn’t have previous experience)? Have any of you used clickers in </w:t>
      </w:r>
      <w:r w:rsidR="00DB0AD0" w:rsidRPr="00566F24">
        <w:rPr>
          <w:rFonts w:asciiTheme="majorHAnsi" w:hAnsiTheme="majorHAnsi" w:cstheme="majorHAnsi"/>
          <w:szCs w:val="22"/>
        </w:rPr>
        <w:t>upper</w:t>
      </w:r>
      <w:r w:rsidR="00DB0AD0">
        <w:rPr>
          <w:rFonts w:asciiTheme="majorHAnsi" w:hAnsiTheme="majorHAnsi" w:cstheme="majorHAnsi"/>
          <w:szCs w:val="22"/>
        </w:rPr>
        <w:t>-</w:t>
      </w:r>
      <w:r w:rsidRPr="00566F24">
        <w:rPr>
          <w:rFonts w:asciiTheme="majorHAnsi" w:hAnsiTheme="majorHAnsi" w:cstheme="majorHAnsi"/>
          <w:szCs w:val="22"/>
        </w:rPr>
        <w:t>level courses (or know of people who have)?</w:t>
      </w:r>
    </w:p>
    <w:p w14:paraId="74D65772" w14:textId="77777777" w:rsidR="00C07CCB" w:rsidRPr="00566F24" w:rsidRDefault="00C07CCB" w:rsidP="00744F08">
      <w:pPr>
        <w:pStyle w:val="ListParagraph"/>
        <w:numPr>
          <w:ilvl w:val="0"/>
          <w:numId w:val="4"/>
        </w:numPr>
        <w:rPr>
          <w:rFonts w:asciiTheme="majorHAnsi" w:hAnsiTheme="majorHAnsi" w:cstheme="majorHAnsi"/>
          <w:szCs w:val="22"/>
        </w:rPr>
      </w:pPr>
      <w:r w:rsidRPr="00566F24">
        <w:rPr>
          <w:rFonts w:asciiTheme="majorHAnsi" w:hAnsiTheme="majorHAnsi" w:cstheme="majorHAnsi"/>
          <w:szCs w:val="22"/>
        </w:rPr>
        <w:t>Are there non-clicker approaches that you think could be as effective in these settings? If so, are they easier to implement or harder?</w:t>
      </w:r>
    </w:p>
    <w:p w14:paraId="5DE5B51C" w14:textId="77777777" w:rsidR="00C07CCB" w:rsidRPr="00566F24"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5061E763" w14:textId="77777777" w:rsidR="00C07CCB" w:rsidRPr="00566F24"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566F24">
        <w:rPr>
          <w:rFonts w:asciiTheme="majorHAnsi" w:hAnsiTheme="majorHAnsi" w:cstheme="majorHAnsi"/>
          <w:szCs w:val="22"/>
        </w:rPr>
        <w:t>Here is a list of some of the benefits that the students perceived:</w:t>
      </w:r>
    </w:p>
    <w:p w14:paraId="56F6903D" w14:textId="77777777" w:rsidR="00C07CCB" w:rsidRPr="00566F24" w:rsidRDefault="00C07CCB" w:rsidP="00744F08">
      <w:pPr>
        <w:pStyle w:val="ListParagraph"/>
        <w:numPr>
          <w:ilvl w:val="0"/>
          <w:numId w:val="3"/>
        </w:numPr>
        <w:rPr>
          <w:rFonts w:asciiTheme="majorHAnsi" w:hAnsiTheme="majorHAnsi" w:cstheme="majorHAnsi"/>
          <w:szCs w:val="22"/>
        </w:rPr>
      </w:pPr>
      <w:r w:rsidRPr="00566F24">
        <w:rPr>
          <w:rFonts w:asciiTheme="majorHAnsi" w:hAnsiTheme="majorHAnsi" w:cstheme="majorHAnsi"/>
          <w:szCs w:val="22"/>
        </w:rPr>
        <w:t>Increases the chance students will do the required reading before class;</w:t>
      </w:r>
    </w:p>
    <w:p w14:paraId="4C0854BE" w14:textId="77777777" w:rsidR="00C07CCB" w:rsidRPr="00566F24" w:rsidRDefault="00C07CCB" w:rsidP="00744F08">
      <w:pPr>
        <w:pStyle w:val="ListParagraph"/>
        <w:numPr>
          <w:ilvl w:val="0"/>
          <w:numId w:val="3"/>
        </w:numPr>
        <w:rPr>
          <w:rFonts w:asciiTheme="majorHAnsi" w:hAnsiTheme="majorHAnsi" w:cstheme="majorHAnsi"/>
          <w:szCs w:val="22"/>
        </w:rPr>
      </w:pPr>
      <w:r w:rsidRPr="00566F24">
        <w:rPr>
          <w:rFonts w:asciiTheme="majorHAnsi" w:hAnsiTheme="majorHAnsi" w:cstheme="majorHAnsi"/>
          <w:szCs w:val="22"/>
        </w:rPr>
        <w:t>Helps engage all students in the class;</w:t>
      </w:r>
    </w:p>
    <w:p w14:paraId="76A7DC08" w14:textId="77777777" w:rsidR="00C07CCB" w:rsidRPr="00566F24" w:rsidRDefault="00C07CCB" w:rsidP="00744F08">
      <w:pPr>
        <w:pStyle w:val="ListParagraph"/>
        <w:numPr>
          <w:ilvl w:val="0"/>
          <w:numId w:val="3"/>
        </w:numPr>
        <w:rPr>
          <w:rFonts w:asciiTheme="majorHAnsi" w:hAnsiTheme="majorHAnsi" w:cstheme="majorHAnsi"/>
          <w:szCs w:val="22"/>
        </w:rPr>
      </w:pPr>
      <w:r w:rsidRPr="00566F24">
        <w:rPr>
          <w:rFonts w:asciiTheme="majorHAnsi" w:hAnsiTheme="majorHAnsi" w:cstheme="majorHAnsi"/>
          <w:szCs w:val="22"/>
        </w:rPr>
        <w:t>Gives students a focused opportunity to share thinking and to learn from their peers, see other perspectives;</w:t>
      </w:r>
    </w:p>
    <w:p w14:paraId="408E1A7A" w14:textId="4A1FEDC0" w:rsidR="00C07CCB" w:rsidRPr="00D54438" w:rsidRDefault="00C07CCB" w:rsidP="00744F08">
      <w:pPr>
        <w:pStyle w:val="ListParagraph"/>
        <w:numPr>
          <w:ilvl w:val="0"/>
          <w:numId w:val="3"/>
        </w:numPr>
        <w:rPr>
          <w:rFonts w:asciiTheme="majorHAnsi" w:hAnsiTheme="majorHAnsi" w:cstheme="majorHAnsi"/>
          <w:szCs w:val="22"/>
        </w:rPr>
      </w:pPr>
      <w:r w:rsidRPr="00566F24">
        <w:rPr>
          <w:rFonts w:asciiTheme="majorHAnsi" w:hAnsiTheme="majorHAnsi" w:cstheme="majorHAnsi"/>
          <w:szCs w:val="22"/>
        </w:rPr>
        <w:t>Gives students custom feedback and enables them to check/monitor their thinking</w:t>
      </w:r>
      <w:r w:rsidR="00DB0AD0">
        <w:rPr>
          <w:rFonts w:asciiTheme="majorHAnsi" w:hAnsiTheme="majorHAnsi" w:cstheme="majorHAnsi"/>
          <w:szCs w:val="22"/>
        </w:rPr>
        <w:t>.</w:t>
      </w:r>
    </w:p>
    <w:p w14:paraId="6B66C21A" w14:textId="6BB1857C" w:rsidR="004B68B0" w:rsidRPr="004B68B0" w:rsidRDefault="004B68B0" w:rsidP="004B68B0">
      <w:pPr>
        <w:pStyle w:val="Heading3"/>
      </w:pPr>
      <w:r>
        <w:t>Enhancing student motivation</w:t>
      </w:r>
    </w:p>
    <w:p w14:paraId="10D435DB" w14:textId="36C92A56" w:rsidR="00C07CCB"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4B68B0">
        <w:rPr>
          <w:rFonts w:asciiTheme="majorHAnsi" w:hAnsiTheme="majorHAnsi" w:cstheme="majorHAnsi"/>
          <w:b/>
          <w:szCs w:val="22"/>
        </w:rPr>
        <w:t>“Enhancing Introductory Student Motivation with a Major-Managed Course Blog: A Pilot Study</w:t>
      </w:r>
      <w:r w:rsidRPr="00566F24">
        <w:rPr>
          <w:rFonts w:asciiTheme="majorHAnsi" w:hAnsiTheme="majorHAnsi" w:cstheme="majorHAnsi"/>
          <w:szCs w:val="22"/>
        </w:rPr>
        <w:t>.</w:t>
      </w:r>
      <w:r>
        <w:rPr>
          <w:rFonts w:asciiTheme="majorHAnsi" w:hAnsiTheme="majorHAnsi" w:cstheme="majorHAnsi"/>
          <w:szCs w:val="22"/>
        </w:rPr>
        <w:t xml:space="preserve">” </w:t>
      </w:r>
      <w:r w:rsidR="00C07CCB" w:rsidRPr="00566F24">
        <w:rPr>
          <w:rFonts w:asciiTheme="majorHAnsi" w:hAnsiTheme="majorHAnsi" w:cstheme="majorHAnsi"/>
          <w:szCs w:val="22"/>
        </w:rPr>
        <w:t xml:space="preserve">August, A. A., </w:t>
      </w:r>
      <w:proofErr w:type="spellStart"/>
      <w:r w:rsidR="00C07CCB" w:rsidRPr="00566F24">
        <w:rPr>
          <w:rFonts w:asciiTheme="majorHAnsi" w:hAnsiTheme="majorHAnsi" w:cstheme="majorHAnsi"/>
          <w:szCs w:val="22"/>
        </w:rPr>
        <w:t>Bretey</w:t>
      </w:r>
      <w:proofErr w:type="spellEnd"/>
      <w:r w:rsidR="00C07CCB" w:rsidRPr="00566F24">
        <w:rPr>
          <w:rFonts w:asciiTheme="majorHAnsi" w:hAnsiTheme="majorHAnsi" w:cstheme="majorHAnsi"/>
          <w:szCs w:val="22"/>
        </w:rPr>
        <w:t xml:space="preserve">, K. C., Cory, B. T., </w:t>
      </w:r>
      <w:proofErr w:type="spellStart"/>
      <w:r w:rsidR="00C07CCB" w:rsidRPr="00566F24">
        <w:rPr>
          <w:rFonts w:asciiTheme="majorHAnsi" w:hAnsiTheme="majorHAnsi" w:cstheme="majorHAnsi"/>
          <w:szCs w:val="22"/>
        </w:rPr>
        <w:t>Finkley</w:t>
      </w:r>
      <w:proofErr w:type="spellEnd"/>
      <w:r w:rsidR="00C07CCB" w:rsidRPr="00566F24">
        <w:rPr>
          <w:rFonts w:asciiTheme="majorHAnsi" w:hAnsiTheme="majorHAnsi" w:cstheme="majorHAnsi"/>
          <w:szCs w:val="22"/>
        </w:rPr>
        <w:t xml:space="preserve"> III, E. R., Jones, R. D., Marshall, D. W., … Lane, W. B. (2011). ArXiv:1108.1591 [Physics]. Retrieved from </w:t>
      </w:r>
      <w:hyperlink r:id="rId12" w:history="1">
        <w:r w:rsidR="00C07CCB" w:rsidRPr="00BB195C">
          <w:rPr>
            <w:rStyle w:val="Hyperlink"/>
            <w:rFonts w:asciiTheme="majorHAnsi" w:hAnsiTheme="majorHAnsi" w:cstheme="majorHAnsi"/>
            <w:szCs w:val="22"/>
          </w:rPr>
          <w:t>http://arxiv.org/abs/1108.1591</w:t>
        </w:r>
      </w:hyperlink>
    </w:p>
    <w:p w14:paraId="3822DF23"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2CD70D9E" w14:textId="24E66EA1" w:rsidR="00C07CCB" w:rsidRPr="00566F24"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51324050" w14:textId="77777777" w:rsidR="00C07CCB" w:rsidRPr="00566F24" w:rsidRDefault="00C07CCB" w:rsidP="00744F08">
      <w:pPr>
        <w:pStyle w:val="ListParagraph"/>
        <w:numPr>
          <w:ilvl w:val="0"/>
          <w:numId w:val="8"/>
        </w:numPr>
        <w:rPr>
          <w:rFonts w:asciiTheme="majorHAnsi" w:hAnsiTheme="majorHAnsi" w:cstheme="majorHAnsi"/>
          <w:szCs w:val="22"/>
        </w:rPr>
      </w:pPr>
      <w:r w:rsidRPr="00566F24">
        <w:rPr>
          <w:rFonts w:asciiTheme="majorHAnsi" w:hAnsiTheme="majorHAnsi" w:cstheme="majorHAnsi"/>
          <w:szCs w:val="22"/>
        </w:rPr>
        <w:t>Is there enough CLASS data to be convincing?</w:t>
      </w:r>
    </w:p>
    <w:p w14:paraId="0FDA15B5" w14:textId="66F36328" w:rsidR="00C07CCB" w:rsidRPr="00566F24" w:rsidRDefault="00C07CCB" w:rsidP="00744F08">
      <w:pPr>
        <w:pStyle w:val="ListParagraph"/>
        <w:numPr>
          <w:ilvl w:val="0"/>
          <w:numId w:val="8"/>
        </w:numPr>
        <w:rPr>
          <w:rFonts w:asciiTheme="majorHAnsi" w:hAnsiTheme="majorHAnsi" w:cstheme="majorHAnsi"/>
          <w:szCs w:val="22"/>
        </w:rPr>
      </w:pPr>
      <w:r w:rsidRPr="00566F24">
        <w:rPr>
          <w:rFonts w:asciiTheme="majorHAnsi" w:hAnsiTheme="majorHAnsi" w:cstheme="majorHAnsi"/>
          <w:szCs w:val="22"/>
        </w:rPr>
        <w:t>Might the biweekly surveys influence the CLASS result?</w:t>
      </w:r>
    </w:p>
    <w:p w14:paraId="3C7F6FA9" w14:textId="44B14AE5" w:rsidR="00C07CCB" w:rsidRPr="00566F24" w:rsidRDefault="00C07CCB" w:rsidP="00744F08">
      <w:pPr>
        <w:pStyle w:val="ListParagraph"/>
        <w:numPr>
          <w:ilvl w:val="0"/>
          <w:numId w:val="8"/>
        </w:numPr>
        <w:rPr>
          <w:rFonts w:asciiTheme="majorHAnsi" w:hAnsiTheme="majorHAnsi" w:cstheme="majorHAnsi"/>
          <w:szCs w:val="22"/>
        </w:rPr>
      </w:pPr>
      <w:r w:rsidRPr="00566F24">
        <w:rPr>
          <w:rFonts w:asciiTheme="majorHAnsi" w:hAnsiTheme="majorHAnsi" w:cstheme="majorHAnsi"/>
          <w:szCs w:val="22"/>
        </w:rPr>
        <w:t xml:space="preserve">Is the </w:t>
      </w:r>
      <w:r w:rsidR="00DB0AD0" w:rsidRPr="00566F24">
        <w:rPr>
          <w:rFonts w:asciiTheme="majorHAnsi" w:hAnsiTheme="majorHAnsi" w:cstheme="majorHAnsi"/>
          <w:szCs w:val="22"/>
        </w:rPr>
        <w:t>upper</w:t>
      </w:r>
      <w:r w:rsidR="00DB0AD0">
        <w:rPr>
          <w:rFonts w:asciiTheme="majorHAnsi" w:hAnsiTheme="majorHAnsi" w:cstheme="majorHAnsi"/>
          <w:szCs w:val="22"/>
        </w:rPr>
        <w:t>-</w:t>
      </w:r>
      <w:r w:rsidRPr="00566F24">
        <w:rPr>
          <w:rFonts w:asciiTheme="majorHAnsi" w:hAnsiTheme="majorHAnsi" w:cstheme="majorHAnsi"/>
          <w:szCs w:val="22"/>
        </w:rPr>
        <w:t xml:space="preserve">level student involvement critical or would any old blog do? </w:t>
      </w:r>
    </w:p>
    <w:p w14:paraId="64B29E5B" w14:textId="5070BFE1" w:rsidR="00C07CCB" w:rsidRPr="00D54438" w:rsidRDefault="00C07CCB" w:rsidP="00744F08">
      <w:pPr>
        <w:pStyle w:val="ListParagraph"/>
        <w:numPr>
          <w:ilvl w:val="0"/>
          <w:numId w:val="8"/>
        </w:numPr>
        <w:rPr>
          <w:rFonts w:asciiTheme="majorHAnsi" w:hAnsiTheme="majorHAnsi" w:cstheme="majorHAnsi"/>
          <w:szCs w:val="22"/>
        </w:rPr>
      </w:pPr>
      <w:r w:rsidRPr="00566F24">
        <w:rPr>
          <w:rFonts w:asciiTheme="majorHAnsi" w:hAnsiTheme="majorHAnsi" w:cstheme="majorHAnsi"/>
          <w:szCs w:val="22"/>
        </w:rPr>
        <w:t>Any general comment on blogs stimulating personal interest and/or improving motivation?</w:t>
      </w:r>
    </w:p>
    <w:p w14:paraId="1BAFA234" w14:textId="3ADB6983" w:rsidR="004B68B0" w:rsidRPr="004B68B0" w:rsidRDefault="004B68B0" w:rsidP="004B68B0">
      <w:pPr>
        <w:pStyle w:val="Heading3"/>
      </w:pPr>
      <w:r>
        <w:t>Teaching evaluations</w:t>
      </w:r>
    </w:p>
    <w:p w14:paraId="3371F255" w14:textId="6FB4ABA2" w:rsidR="00C07CCB"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4B68B0">
        <w:rPr>
          <w:rFonts w:asciiTheme="majorHAnsi" w:hAnsiTheme="majorHAnsi" w:cstheme="majorHAnsi"/>
          <w:b/>
          <w:szCs w:val="22"/>
        </w:rPr>
        <w:t>“How to Improve Your Teaching Evaluations without Improving Your Teaching.”</w:t>
      </w:r>
      <w:r>
        <w:rPr>
          <w:rFonts w:asciiTheme="majorHAnsi" w:hAnsiTheme="majorHAnsi" w:cstheme="majorHAnsi"/>
          <w:szCs w:val="22"/>
        </w:rPr>
        <w:t xml:space="preserve"> </w:t>
      </w:r>
      <w:r w:rsidRPr="00566F24">
        <w:rPr>
          <w:rFonts w:asciiTheme="majorHAnsi" w:hAnsiTheme="majorHAnsi" w:cstheme="majorHAnsi"/>
          <w:szCs w:val="22"/>
        </w:rPr>
        <w:t xml:space="preserve"> </w:t>
      </w:r>
      <w:r w:rsidR="00C07CCB" w:rsidRPr="00566F24">
        <w:rPr>
          <w:rFonts w:asciiTheme="majorHAnsi" w:hAnsiTheme="majorHAnsi" w:cstheme="majorHAnsi"/>
          <w:szCs w:val="22"/>
        </w:rPr>
        <w:t xml:space="preserve">Neath, I. (1996). Psychological Reports, 78(3_suppl), 1363–1372. </w:t>
      </w:r>
      <w:hyperlink r:id="rId13" w:history="1">
        <w:r w:rsidR="00C07CCB" w:rsidRPr="00BB195C">
          <w:rPr>
            <w:rStyle w:val="Hyperlink"/>
            <w:rFonts w:asciiTheme="majorHAnsi" w:hAnsiTheme="majorHAnsi" w:cstheme="majorHAnsi"/>
            <w:szCs w:val="22"/>
          </w:rPr>
          <w:t>https://doi.org/10.2466/pr0.1996.78.3c.1363</w:t>
        </w:r>
      </w:hyperlink>
    </w:p>
    <w:p w14:paraId="356A8896"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5306B6EF" w14:textId="05EC1028" w:rsidR="00C07CCB" w:rsidRPr="00566F24"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Some discussion questions:</w:t>
      </w:r>
    </w:p>
    <w:p w14:paraId="43A4E3DD" w14:textId="77777777" w:rsidR="00C07CCB" w:rsidRPr="00566F24" w:rsidRDefault="00C07CCB" w:rsidP="00744F08">
      <w:pPr>
        <w:pStyle w:val="ListParagraph"/>
        <w:numPr>
          <w:ilvl w:val="0"/>
          <w:numId w:val="9"/>
        </w:numPr>
        <w:rPr>
          <w:rFonts w:asciiTheme="majorHAnsi" w:hAnsiTheme="majorHAnsi" w:cstheme="majorHAnsi"/>
          <w:szCs w:val="22"/>
        </w:rPr>
      </w:pPr>
      <w:r w:rsidRPr="00566F24">
        <w:rPr>
          <w:rFonts w:asciiTheme="majorHAnsi" w:hAnsiTheme="majorHAnsi" w:cstheme="majorHAnsi"/>
          <w:szCs w:val="22"/>
        </w:rPr>
        <w:t>Neath's article points to a problem in academic process, i.e., in using scores of subjective teaching evaluations as proxies for quantifying good teaching. Can any ideas or tools from evidence-based learning be practically adapted to support evidence-based teaching?</w:t>
      </w:r>
    </w:p>
    <w:p w14:paraId="27C6647C" w14:textId="77777777" w:rsidR="00C07CCB" w:rsidRPr="00566F24" w:rsidRDefault="00C07CCB" w:rsidP="00744F08">
      <w:pPr>
        <w:pStyle w:val="ListParagraph"/>
        <w:numPr>
          <w:ilvl w:val="0"/>
          <w:numId w:val="9"/>
        </w:numPr>
        <w:rPr>
          <w:rFonts w:asciiTheme="majorHAnsi" w:hAnsiTheme="majorHAnsi" w:cstheme="majorHAnsi"/>
          <w:szCs w:val="22"/>
        </w:rPr>
      </w:pPr>
      <w:r w:rsidRPr="00566F24">
        <w:rPr>
          <w:rFonts w:asciiTheme="majorHAnsi" w:hAnsiTheme="majorHAnsi" w:cstheme="majorHAnsi"/>
          <w:szCs w:val="22"/>
        </w:rPr>
        <w:t>A number of Neath's suggested tips for improving teaching ratings are (intentionally) facetious (e.g., "be male"). Are any of his tips worthwhile means of legitimately improving teaching?</w:t>
      </w:r>
    </w:p>
    <w:p w14:paraId="433C1A6B" w14:textId="29F91714" w:rsidR="00DB0AD0" w:rsidRPr="004B68B0" w:rsidRDefault="00C07CCB" w:rsidP="00744F08">
      <w:pPr>
        <w:pStyle w:val="ListParagraph"/>
        <w:numPr>
          <w:ilvl w:val="0"/>
          <w:numId w:val="9"/>
        </w:numPr>
        <w:rPr>
          <w:rFonts w:asciiTheme="majorHAnsi" w:hAnsiTheme="majorHAnsi" w:cstheme="majorHAnsi"/>
          <w:szCs w:val="22"/>
        </w:rPr>
      </w:pPr>
      <w:r w:rsidRPr="00566F24">
        <w:rPr>
          <w:rFonts w:asciiTheme="majorHAnsi" w:hAnsiTheme="majorHAnsi" w:cstheme="majorHAnsi"/>
          <w:szCs w:val="22"/>
        </w:rPr>
        <w:lastRenderedPageBreak/>
        <w:t>The closing paragraph contains what Neath believes are sufficient conditions for teaching evaluations to be legitimate means of evaluating teaching. Do you agree with his assertion? Are any of the conditions necessary conditions as well?</w:t>
      </w:r>
    </w:p>
    <w:p w14:paraId="73CE6591" w14:textId="26321034" w:rsidR="00DB0AD0" w:rsidRPr="004B68B0" w:rsidRDefault="004B68B0" w:rsidP="004B68B0">
      <w:pPr>
        <w:pStyle w:val="Heading3"/>
      </w:pPr>
      <w:r>
        <w:t>Effective tutors</w:t>
      </w:r>
    </w:p>
    <w:p w14:paraId="66E9EA6E" w14:textId="6EBD500B" w:rsidR="00C07CCB"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4B68B0">
        <w:rPr>
          <w:rFonts w:asciiTheme="majorHAnsi" w:hAnsiTheme="majorHAnsi" w:cstheme="majorHAnsi"/>
          <w:b/>
          <w:szCs w:val="22"/>
        </w:rPr>
        <w:t>“The Role of the Lecturer as Tutor: Doing What Effective Tutors Do in a Large Lecture Class.”</w:t>
      </w:r>
      <w:r>
        <w:rPr>
          <w:rFonts w:asciiTheme="majorHAnsi" w:hAnsiTheme="majorHAnsi" w:cstheme="majorHAnsi"/>
          <w:szCs w:val="22"/>
        </w:rPr>
        <w:t xml:space="preserve"> </w:t>
      </w:r>
      <w:r w:rsidRPr="00566F24">
        <w:rPr>
          <w:rFonts w:asciiTheme="majorHAnsi" w:hAnsiTheme="majorHAnsi" w:cstheme="majorHAnsi"/>
          <w:szCs w:val="22"/>
        </w:rPr>
        <w:t xml:space="preserve"> </w:t>
      </w:r>
      <w:r w:rsidR="00C07CCB" w:rsidRPr="00566F24">
        <w:rPr>
          <w:rFonts w:asciiTheme="majorHAnsi" w:hAnsiTheme="majorHAnsi" w:cstheme="majorHAnsi"/>
          <w:szCs w:val="22"/>
        </w:rPr>
        <w:t xml:space="preserve">Wood, W. B., &amp; Tanner, K. D. (2012). CBE—Life Sciences Education, 11(1), 3–9. </w:t>
      </w:r>
      <w:hyperlink r:id="rId14" w:history="1">
        <w:r w:rsidR="00C07CCB" w:rsidRPr="00BB195C">
          <w:rPr>
            <w:rStyle w:val="Hyperlink"/>
            <w:rFonts w:asciiTheme="majorHAnsi" w:hAnsiTheme="majorHAnsi" w:cstheme="majorHAnsi"/>
            <w:szCs w:val="22"/>
          </w:rPr>
          <w:t>https://doi.org/10.1187/cbe.11-12-0110</w:t>
        </w:r>
      </w:hyperlink>
    </w:p>
    <w:p w14:paraId="36D37CF7"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6A6DE4FF" w14:textId="41EC277C" w:rsidR="00C07CCB" w:rsidRPr="00566F24" w:rsidRDefault="004B68B0"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14F6FF9A" w14:textId="2D4446F4" w:rsidR="00C07CCB" w:rsidRPr="00566F24" w:rsidRDefault="00C07CCB" w:rsidP="00744F08">
      <w:pPr>
        <w:pStyle w:val="ListParagraph"/>
        <w:numPr>
          <w:ilvl w:val="0"/>
          <w:numId w:val="10"/>
        </w:numPr>
        <w:rPr>
          <w:rFonts w:asciiTheme="majorHAnsi" w:hAnsiTheme="majorHAnsi" w:cstheme="majorHAnsi"/>
          <w:szCs w:val="22"/>
        </w:rPr>
      </w:pPr>
      <w:r w:rsidRPr="00566F24">
        <w:rPr>
          <w:rFonts w:asciiTheme="majorHAnsi" w:hAnsiTheme="majorHAnsi" w:cstheme="majorHAnsi"/>
          <w:szCs w:val="22"/>
        </w:rPr>
        <w:t>If you had to choose a tutor strategy/behavior to implement into a large lecture clas</w:t>
      </w:r>
      <w:r w:rsidR="00E84967">
        <w:rPr>
          <w:rFonts w:asciiTheme="majorHAnsi" w:hAnsiTheme="majorHAnsi" w:cstheme="majorHAnsi"/>
          <w:szCs w:val="22"/>
        </w:rPr>
        <w:t xml:space="preserve">s, which one would you choose? Why? </w:t>
      </w:r>
      <w:r w:rsidRPr="00566F24">
        <w:rPr>
          <w:rFonts w:asciiTheme="majorHAnsi" w:hAnsiTheme="majorHAnsi" w:cstheme="majorHAnsi"/>
          <w:szCs w:val="22"/>
        </w:rPr>
        <w:t>How would you integrate thi</w:t>
      </w:r>
      <w:r w:rsidR="00E84967">
        <w:rPr>
          <w:rFonts w:asciiTheme="majorHAnsi" w:hAnsiTheme="majorHAnsi" w:cstheme="majorHAnsi"/>
          <w:szCs w:val="22"/>
        </w:rPr>
        <w:t xml:space="preserve">s strategy into a large class? </w:t>
      </w:r>
      <w:r w:rsidRPr="00566F24">
        <w:rPr>
          <w:rFonts w:asciiTheme="majorHAnsi" w:hAnsiTheme="majorHAnsi" w:cstheme="majorHAnsi"/>
          <w:szCs w:val="22"/>
        </w:rPr>
        <w:t>What are the caveats that might affect implementation?</w:t>
      </w:r>
    </w:p>
    <w:p w14:paraId="62B87F2D" w14:textId="79B3CAEB" w:rsidR="00C07CCB" w:rsidRPr="00566F24" w:rsidRDefault="00C07CCB" w:rsidP="00744F08">
      <w:pPr>
        <w:pStyle w:val="ListParagraph"/>
        <w:numPr>
          <w:ilvl w:val="0"/>
          <w:numId w:val="10"/>
        </w:numPr>
        <w:rPr>
          <w:rFonts w:asciiTheme="majorHAnsi" w:hAnsiTheme="majorHAnsi" w:cstheme="majorHAnsi"/>
          <w:szCs w:val="22"/>
        </w:rPr>
      </w:pPr>
      <w:r w:rsidRPr="00566F24">
        <w:rPr>
          <w:rFonts w:asciiTheme="majorHAnsi" w:hAnsiTheme="majorHAnsi" w:cstheme="majorHAnsi"/>
          <w:szCs w:val="22"/>
        </w:rPr>
        <w:t>Some of these tutor strategies might require a very large shift in teaching style, and would involve asking (some) instructors/faculty to make large changes in habit (e.g., using Socratic responses to student questions, or "cognitive coaching" approaches</w:t>
      </w:r>
      <w:r w:rsidR="00E84967">
        <w:rPr>
          <w:rFonts w:asciiTheme="majorHAnsi" w:hAnsiTheme="majorHAnsi" w:cstheme="majorHAnsi"/>
          <w:szCs w:val="22"/>
        </w:rPr>
        <w:t xml:space="preserve"> under the Indirect category). </w:t>
      </w:r>
      <w:r w:rsidRPr="00566F24">
        <w:rPr>
          <w:rFonts w:asciiTheme="majorHAnsi" w:hAnsiTheme="majorHAnsi" w:cstheme="majorHAnsi"/>
          <w:szCs w:val="22"/>
        </w:rPr>
        <w:t xml:space="preserve">Can we think of ways to help people who are interested in tutor strategies make these changes? </w:t>
      </w:r>
    </w:p>
    <w:p w14:paraId="3B3DAE15" w14:textId="2491A376" w:rsidR="00C07CCB" w:rsidRPr="00D54438" w:rsidRDefault="00C07CCB" w:rsidP="00744F08">
      <w:pPr>
        <w:pStyle w:val="ListParagraph"/>
        <w:numPr>
          <w:ilvl w:val="0"/>
          <w:numId w:val="10"/>
        </w:numPr>
        <w:rPr>
          <w:rFonts w:asciiTheme="majorHAnsi" w:hAnsiTheme="majorHAnsi" w:cstheme="majorHAnsi"/>
          <w:szCs w:val="22"/>
        </w:rPr>
      </w:pPr>
      <w:r w:rsidRPr="00566F24">
        <w:rPr>
          <w:rFonts w:asciiTheme="majorHAnsi" w:hAnsiTheme="majorHAnsi" w:cstheme="majorHAnsi"/>
          <w:szCs w:val="22"/>
        </w:rPr>
        <w:t>Although this paper deals with implementing tutor strategies in large classes I'm also very interested in applying these ideas to a tutorial setting where TAs have a lar</w:t>
      </w:r>
      <w:r w:rsidR="00E84967">
        <w:rPr>
          <w:rFonts w:asciiTheme="majorHAnsi" w:hAnsiTheme="majorHAnsi" w:cstheme="majorHAnsi"/>
          <w:szCs w:val="22"/>
        </w:rPr>
        <w:t xml:space="preserve">ge impact on student learning. </w:t>
      </w:r>
      <w:r w:rsidRPr="00566F24">
        <w:rPr>
          <w:rFonts w:asciiTheme="majorHAnsi" w:hAnsiTheme="majorHAnsi" w:cstheme="majorHAnsi"/>
          <w:szCs w:val="22"/>
        </w:rPr>
        <w:t>Not all the TAs assigned to a course are considered experts in the field, so how can we support TAs to be tutor-like without expertise?</w:t>
      </w:r>
    </w:p>
    <w:p w14:paraId="69A46AB0" w14:textId="7A24378E" w:rsidR="004B68B0" w:rsidRPr="004B68B0" w:rsidRDefault="00D54438" w:rsidP="004B68B0">
      <w:pPr>
        <w:pStyle w:val="Heading3"/>
      </w:pPr>
      <w:r>
        <w:t>Lack of impact of active learning</w:t>
      </w:r>
    </w:p>
    <w:p w14:paraId="484C3013" w14:textId="1C43C3DA" w:rsidR="00C07CCB"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D54438">
        <w:rPr>
          <w:rFonts w:asciiTheme="majorHAnsi" w:hAnsiTheme="majorHAnsi" w:cstheme="majorHAnsi"/>
          <w:b/>
          <w:szCs w:val="22"/>
        </w:rPr>
        <w:t>“Active Learning Not Associated with Student Learning in a Random Sample of College Biology Courses.”</w:t>
      </w:r>
      <w:r w:rsidRPr="000464AC">
        <w:rPr>
          <w:rFonts w:asciiTheme="majorHAnsi" w:hAnsiTheme="majorHAnsi" w:cstheme="majorHAnsi"/>
          <w:szCs w:val="22"/>
        </w:rPr>
        <w:t xml:space="preserve"> </w:t>
      </w:r>
      <w:r w:rsidR="00C07CCB" w:rsidRPr="000464AC">
        <w:rPr>
          <w:rFonts w:asciiTheme="majorHAnsi" w:hAnsiTheme="majorHAnsi" w:cstheme="majorHAnsi"/>
          <w:szCs w:val="22"/>
        </w:rPr>
        <w:t xml:space="preserve">Andrews, T. M., Leonard, M. J., </w:t>
      </w:r>
      <w:proofErr w:type="spellStart"/>
      <w:r w:rsidR="00C07CCB" w:rsidRPr="000464AC">
        <w:rPr>
          <w:rFonts w:asciiTheme="majorHAnsi" w:hAnsiTheme="majorHAnsi" w:cstheme="majorHAnsi"/>
          <w:szCs w:val="22"/>
        </w:rPr>
        <w:t>Colgrove</w:t>
      </w:r>
      <w:proofErr w:type="spellEnd"/>
      <w:r w:rsidR="00C07CCB" w:rsidRPr="000464AC">
        <w:rPr>
          <w:rFonts w:asciiTheme="majorHAnsi" w:hAnsiTheme="majorHAnsi" w:cstheme="majorHAnsi"/>
          <w:szCs w:val="22"/>
        </w:rPr>
        <w:t xml:space="preserve">, C. A., &amp; Kalinowski, S. T. (2011). CBE—Life Sciences Education, 10(4), 394–405. </w:t>
      </w:r>
      <w:hyperlink r:id="rId15" w:history="1">
        <w:r w:rsidR="00C07CCB" w:rsidRPr="00BB195C">
          <w:rPr>
            <w:rStyle w:val="Hyperlink"/>
            <w:rFonts w:asciiTheme="majorHAnsi" w:hAnsiTheme="majorHAnsi" w:cstheme="majorHAnsi"/>
            <w:szCs w:val="22"/>
          </w:rPr>
          <w:t>https://doi.org/10.1187/cbe.11-07-0061</w:t>
        </w:r>
      </w:hyperlink>
    </w:p>
    <w:p w14:paraId="2DDD1794"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15DE57F8" w14:textId="5619ABE6" w:rsidR="00C07CCB" w:rsidRPr="000464AC"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0DE17859" w14:textId="77777777" w:rsidR="00C07CCB" w:rsidRPr="000464AC" w:rsidRDefault="00C07CCB" w:rsidP="00744F08">
      <w:pPr>
        <w:pStyle w:val="ListParagraph"/>
        <w:numPr>
          <w:ilvl w:val="0"/>
          <w:numId w:val="11"/>
        </w:numPr>
        <w:rPr>
          <w:rFonts w:asciiTheme="majorHAnsi" w:hAnsiTheme="majorHAnsi" w:cstheme="majorHAnsi"/>
          <w:szCs w:val="22"/>
        </w:rPr>
      </w:pPr>
      <w:r w:rsidRPr="000464AC">
        <w:rPr>
          <w:rFonts w:asciiTheme="majorHAnsi" w:hAnsiTheme="majorHAnsi" w:cstheme="majorHAnsi"/>
          <w:szCs w:val="22"/>
        </w:rPr>
        <w:t>What are the take home messages you got from this paper do they impact your view or practice of implementing active learning methods in your classes (or the classes you support), and measuring the effectiveness of these methods?</w:t>
      </w:r>
    </w:p>
    <w:p w14:paraId="1DD2AB1A" w14:textId="35E46474" w:rsidR="00C07CCB" w:rsidRPr="000464AC" w:rsidRDefault="00C07CCB" w:rsidP="00744F08">
      <w:pPr>
        <w:pStyle w:val="ListParagraph"/>
        <w:numPr>
          <w:ilvl w:val="0"/>
          <w:numId w:val="11"/>
        </w:numPr>
        <w:rPr>
          <w:rFonts w:asciiTheme="majorHAnsi" w:hAnsiTheme="majorHAnsi" w:cstheme="majorHAnsi"/>
          <w:szCs w:val="22"/>
        </w:rPr>
      </w:pPr>
      <w:r w:rsidRPr="000464AC">
        <w:rPr>
          <w:rFonts w:asciiTheme="majorHAnsi" w:hAnsiTheme="majorHAnsi" w:cstheme="majorHAnsi"/>
          <w:szCs w:val="22"/>
        </w:rPr>
        <w:t xml:space="preserve">What parts of the data did you find the most (and </w:t>
      </w:r>
      <w:r w:rsidR="00E84967">
        <w:rPr>
          <w:rFonts w:asciiTheme="majorHAnsi" w:hAnsiTheme="majorHAnsi" w:cstheme="majorHAnsi"/>
          <w:szCs w:val="22"/>
        </w:rPr>
        <w:t xml:space="preserve">perhaps the least) compelling? </w:t>
      </w:r>
      <w:r w:rsidRPr="000464AC">
        <w:rPr>
          <w:rFonts w:asciiTheme="majorHAnsi" w:hAnsiTheme="majorHAnsi" w:cstheme="majorHAnsi"/>
          <w:szCs w:val="22"/>
        </w:rPr>
        <w:t>What would you change if you were to repeat this study in your discipline?</w:t>
      </w:r>
    </w:p>
    <w:p w14:paraId="35FAC3D6" w14:textId="77777777" w:rsidR="00C07CCB" w:rsidRPr="000464AC" w:rsidRDefault="00C07CCB" w:rsidP="00744F08">
      <w:pPr>
        <w:pStyle w:val="ListParagraph"/>
        <w:numPr>
          <w:ilvl w:val="0"/>
          <w:numId w:val="11"/>
        </w:numPr>
        <w:rPr>
          <w:rFonts w:asciiTheme="majorHAnsi" w:hAnsiTheme="majorHAnsi" w:cstheme="majorHAnsi"/>
          <w:szCs w:val="22"/>
        </w:rPr>
      </w:pPr>
      <w:r w:rsidRPr="000464AC">
        <w:rPr>
          <w:rFonts w:asciiTheme="majorHAnsi" w:hAnsiTheme="majorHAnsi" w:cstheme="majorHAnsi"/>
          <w:szCs w:val="22"/>
        </w:rPr>
        <w:t xml:space="preserve">If you encounter low learning gains how do you determine (or could you determine) if curriculum is negatively impacting the effectiveness of active learning methods? </w:t>
      </w:r>
    </w:p>
    <w:p w14:paraId="436A2E0A" w14:textId="4E174D14" w:rsidR="00C07CCB" w:rsidRPr="00D54438" w:rsidRDefault="00C07CCB" w:rsidP="00744F08">
      <w:pPr>
        <w:pStyle w:val="ListParagraph"/>
        <w:numPr>
          <w:ilvl w:val="0"/>
          <w:numId w:val="11"/>
        </w:numPr>
        <w:rPr>
          <w:rFonts w:asciiTheme="majorHAnsi" w:hAnsiTheme="majorHAnsi" w:cstheme="majorHAnsi"/>
          <w:szCs w:val="22"/>
        </w:rPr>
      </w:pPr>
      <w:r w:rsidRPr="000464AC">
        <w:rPr>
          <w:rFonts w:asciiTheme="majorHAnsi" w:hAnsiTheme="majorHAnsi" w:cstheme="majorHAnsi"/>
          <w:szCs w:val="22"/>
        </w:rPr>
        <w:t>How can we measure true effectiveness of the teaching and use of active learning methods (beyond the end-of-term post-test)?</w:t>
      </w:r>
    </w:p>
    <w:p w14:paraId="17399101" w14:textId="31C81371" w:rsidR="00D54438" w:rsidRPr="004B68B0" w:rsidRDefault="00D54438" w:rsidP="00D54438">
      <w:pPr>
        <w:pStyle w:val="Heading3"/>
      </w:pPr>
      <w:r>
        <w:t>Draft paper for review</w:t>
      </w:r>
    </w:p>
    <w:p w14:paraId="5B7518C3" w14:textId="167C9D9F" w:rsidR="00C07CCB" w:rsidRPr="00DB0AD0" w:rsidRDefault="00D54438" w:rsidP="00D54438">
      <w:pPr>
        <w:pBdr>
          <w:top w:val="none" w:sz="0" w:space="0" w:color="auto"/>
          <w:left w:val="none" w:sz="0" w:space="0" w:color="auto"/>
          <w:bottom w:val="none" w:sz="0" w:space="0" w:color="auto"/>
          <w:right w:val="none" w:sz="0" w:space="0" w:color="auto"/>
          <w:between w:val="none" w:sz="0" w:space="0" w:color="auto"/>
        </w:pBdr>
        <w:rPr>
          <w:b/>
        </w:rPr>
      </w:pPr>
      <w:r>
        <w:rPr>
          <w:b/>
        </w:rPr>
        <w:t xml:space="preserve"> </w:t>
      </w:r>
      <w:r w:rsidR="00CB4FA4">
        <w:rPr>
          <w:b/>
        </w:rPr>
        <w:t>(In this post, a draft paper written by Reading Group members is shared with the group)</w:t>
      </w:r>
    </w:p>
    <w:p w14:paraId="79023F44" w14:textId="77777777" w:rsidR="00CB4FA4" w:rsidRDefault="00CB4FA4"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638C5251" w14:textId="79CF61BD" w:rsidR="00C07CCB" w:rsidRPr="000464AC"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We are excited</w:t>
      </w:r>
      <w:r w:rsidR="00E84967">
        <w:rPr>
          <w:rFonts w:asciiTheme="majorHAnsi" w:hAnsiTheme="majorHAnsi" w:cstheme="majorHAnsi"/>
          <w:szCs w:val="22"/>
        </w:rPr>
        <w:t xml:space="preserve"> to share this draft with you. </w:t>
      </w:r>
      <w:r w:rsidRPr="000464AC">
        <w:rPr>
          <w:rFonts w:asciiTheme="majorHAnsi" w:hAnsiTheme="majorHAnsi" w:cstheme="majorHAnsi"/>
          <w:szCs w:val="22"/>
        </w:rPr>
        <w:t>Our request to you as you read the manuscript:</w:t>
      </w:r>
    </w:p>
    <w:p w14:paraId="193EEA1C" w14:textId="44DBC443"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0464AC">
        <w:rPr>
          <w:rFonts w:asciiTheme="majorHAnsi" w:hAnsiTheme="majorHAnsi" w:cstheme="majorHAnsi"/>
          <w:szCs w:val="22"/>
        </w:rPr>
        <w:t>Please put yourself in the position of review</w:t>
      </w:r>
      <w:r w:rsidR="00ED1461">
        <w:rPr>
          <w:rFonts w:asciiTheme="majorHAnsi" w:hAnsiTheme="majorHAnsi" w:cstheme="majorHAnsi"/>
          <w:szCs w:val="22"/>
        </w:rPr>
        <w:t>er when reading this manuscript–</w:t>
      </w:r>
      <w:r w:rsidRPr="000464AC">
        <w:rPr>
          <w:rFonts w:asciiTheme="majorHAnsi" w:hAnsiTheme="majorHAnsi" w:cstheme="majorHAnsi"/>
          <w:szCs w:val="22"/>
        </w:rPr>
        <w:t xml:space="preserve">it is a work-in-progress, we're both new to the wacky world of pedagogy paper publishing and we welcome any and all constructive criticism. We've used a Doc file so you can use track changes if you wish. A .pptx file with the figures is included in case they do not display properly (we've had some trouble with that). Our target journal is </w:t>
      </w:r>
      <w:r>
        <w:rPr>
          <w:rFonts w:asciiTheme="majorHAnsi" w:hAnsiTheme="majorHAnsi" w:cstheme="majorHAnsi"/>
          <w:szCs w:val="22"/>
        </w:rPr>
        <w:t>[target journal]</w:t>
      </w:r>
      <w:r w:rsidRPr="000464AC">
        <w:rPr>
          <w:rFonts w:asciiTheme="majorHAnsi" w:hAnsiTheme="majorHAnsi" w:cstheme="majorHAnsi"/>
          <w:szCs w:val="22"/>
        </w:rPr>
        <w:t>. Also attached are the Journal's guidelines to authors, in case you'd like to look these over.</w:t>
      </w:r>
    </w:p>
    <w:p w14:paraId="1DA7F13E"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4EDE8C6C" w14:textId="1756600A" w:rsidR="00C07CCB" w:rsidRPr="000464AC"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4ABDEE37" w14:textId="77777777" w:rsidR="00C07CCB" w:rsidRPr="000464AC" w:rsidRDefault="00C07CCB" w:rsidP="00744F08">
      <w:pPr>
        <w:pStyle w:val="ListParagraph"/>
        <w:numPr>
          <w:ilvl w:val="0"/>
          <w:numId w:val="13"/>
        </w:numPr>
        <w:rPr>
          <w:rFonts w:asciiTheme="majorHAnsi" w:hAnsiTheme="majorHAnsi" w:cstheme="majorHAnsi"/>
          <w:szCs w:val="22"/>
        </w:rPr>
      </w:pPr>
      <w:r w:rsidRPr="000464AC">
        <w:rPr>
          <w:rFonts w:asciiTheme="majorHAnsi" w:hAnsiTheme="majorHAnsi" w:cstheme="majorHAnsi"/>
          <w:szCs w:val="22"/>
        </w:rPr>
        <w:t xml:space="preserve">Overall, do you find the manuscript clear and easy to follow? Do you feel you can easily extract the key results? </w:t>
      </w:r>
    </w:p>
    <w:p w14:paraId="73688BCB" w14:textId="77777777" w:rsidR="00C07CCB" w:rsidRPr="000464AC" w:rsidRDefault="00C07CCB" w:rsidP="00744F08">
      <w:pPr>
        <w:pStyle w:val="ListParagraph"/>
        <w:numPr>
          <w:ilvl w:val="0"/>
          <w:numId w:val="12"/>
        </w:numPr>
        <w:rPr>
          <w:rFonts w:asciiTheme="majorHAnsi" w:hAnsiTheme="majorHAnsi" w:cstheme="majorHAnsi"/>
          <w:szCs w:val="22"/>
        </w:rPr>
      </w:pPr>
      <w:r w:rsidRPr="000464AC">
        <w:rPr>
          <w:rFonts w:asciiTheme="majorHAnsi" w:hAnsiTheme="majorHAnsi" w:cstheme="majorHAnsi"/>
          <w:szCs w:val="22"/>
        </w:rPr>
        <w:t>Do the tables/figures provide useful information? Are any included tables and figures unclear or redundant? Are we missing any figures?</w:t>
      </w:r>
    </w:p>
    <w:p w14:paraId="0CC7E675" w14:textId="77777777" w:rsidR="00C07CCB" w:rsidRPr="000464AC" w:rsidRDefault="00C07CCB" w:rsidP="00744F08">
      <w:pPr>
        <w:pStyle w:val="ListParagraph"/>
        <w:numPr>
          <w:ilvl w:val="0"/>
          <w:numId w:val="12"/>
        </w:numPr>
        <w:rPr>
          <w:rFonts w:asciiTheme="majorHAnsi" w:hAnsiTheme="majorHAnsi" w:cstheme="majorHAnsi"/>
          <w:szCs w:val="22"/>
        </w:rPr>
      </w:pPr>
      <w:r w:rsidRPr="000464AC">
        <w:rPr>
          <w:rFonts w:asciiTheme="majorHAnsi" w:hAnsiTheme="majorHAnsi" w:cstheme="majorHAnsi"/>
          <w:szCs w:val="22"/>
        </w:rPr>
        <w:t xml:space="preserve">Is there any content missing that you expected to see (i.e., intro topics, data analyses, discussion points)? </w:t>
      </w:r>
    </w:p>
    <w:p w14:paraId="784F4838" w14:textId="68876A9E" w:rsidR="00C07CCB" w:rsidRPr="00D54438" w:rsidRDefault="00C07CCB" w:rsidP="00744F08">
      <w:pPr>
        <w:pStyle w:val="ListParagraph"/>
        <w:numPr>
          <w:ilvl w:val="0"/>
          <w:numId w:val="12"/>
        </w:numPr>
        <w:rPr>
          <w:rFonts w:asciiTheme="majorHAnsi" w:hAnsiTheme="majorHAnsi" w:cstheme="majorHAnsi"/>
          <w:szCs w:val="22"/>
        </w:rPr>
      </w:pPr>
      <w:r w:rsidRPr="000464AC">
        <w:rPr>
          <w:rFonts w:asciiTheme="majorHAnsi" w:hAnsiTheme="majorHAnsi" w:cstheme="majorHAnsi"/>
          <w:szCs w:val="22"/>
        </w:rPr>
        <w:lastRenderedPageBreak/>
        <w:t>Are there references that we have left out that you believe are relevant?</w:t>
      </w:r>
    </w:p>
    <w:p w14:paraId="6E59D09A" w14:textId="6EA316D2" w:rsidR="00D54438" w:rsidRPr="004B68B0" w:rsidRDefault="00D54438" w:rsidP="00D54438">
      <w:pPr>
        <w:pStyle w:val="Heading3"/>
      </w:pPr>
      <w:r>
        <w:t>Effect size analysis</w:t>
      </w:r>
    </w:p>
    <w:p w14:paraId="525AE8E2" w14:textId="7B4B34B0" w:rsidR="00C07CCB"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D54438">
        <w:rPr>
          <w:rFonts w:asciiTheme="majorHAnsi" w:hAnsiTheme="majorHAnsi" w:cstheme="majorHAnsi"/>
          <w:b/>
          <w:szCs w:val="22"/>
        </w:rPr>
        <w:t>“The Other Half of the Story: Effect Size Analysis in Quantitative Research.”</w:t>
      </w:r>
      <w:r>
        <w:rPr>
          <w:rFonts w:asciiTheme="majorHAnsi" w:hAnsiTheme="majorHAnsi" w:cstheme="majorHAnsi"/>
          <w:szCs w:val="22"/>
        </w:rPr>
        <w:t xml:space="preserve"> </w:t>
      </w:r>
      <w:r w:rsidR="00C07CCB" w:rsidRPr="006F7552">
        <w:rPr>
          <w:rFonts w:asciiTheme="majorHAnsi" w:hAnsiTheme="majorHAnsi" w:cstheme="majorHAnsi"/>
          <w:szCs w:val="22"/>
        </w:rPr>
        <w:t xml:space="preserve">Maher, J. M., Markey, J. C., &amp; Ebert-May, D. (2013). CBE—Life Sciences Education, 12(3), 345–351. </w:t>
      </w:r>
      <w:hyperlink r:id="rId16" w:history="1">
        <w:r w:rsidR="00C07CCB" w:rsidRPr="00BB195C">
          <w:rPr>
            <w:rStyle w:val="Hyperlink"/>
            <w:rFonts w:asciiTheme="majorHAnsi" w:hAnsiTheme="majorHAnsi" w:cstheme="majorHAnsi"/>
            <w:szCs w:val="22"/>
          </w:rPr>
          <w:t>https://doi.org/10.1187/cbe.13-04-0082</w:t>
        </w:r>
      </w:hyperlink>
    </w:p>
    <w:p w14:paraId="6E2C8685" w14:textId="77777777" w:rsidR="00C07CCB" w:rsidRPr="006F7552"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3D317DA6" w14:textId="77777777" w:rsidR="00C07CCB" w:rsidRPr="006F7552"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6F7552">
        <w:rPr>
          <w:rFonts w:asciiTheme="majorHAnsi" w:hAnsiTheme="majorHAnsi" w:cstheme="majorHAnsi"/>
          <w:szCs w:val="22"/>
        </w:rPr>
        <w:t>A line from the paper:</w:t>
      </w:r>
    </w:p>
    <w:p w14:paraId="2EAE2159"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6F7552">
        <w:rPr>
          <w:rFonts w:asciiTheme="majorHAnsi" w:hAnsiTheme="majorHAnsi" w:cstheme="majorHAnsi"/>
          <w:szCs w:val="22"/>
        </w:rPr>
        <w:t>"Thus, metrics of effect size and statistical significance provide complementary information: the effect size indicates the magnitude of the observed effect or relationship between</w:t>
      </w:r>
      <w:r>
        <w:rPr>
          <w:rFonts w:asciiTheme="majorHAnsi" w:hAnsiTheme="majorHAnsi" w:cstheme="majorHAnsi"/>
          <w:szCs w:val="22"/>
        </w:rPr>
        <w:t xml:space="preserve"> </w:t>
      </w:r>
      <w:r w:rsidRPr="006F7552">
        <w:rPr>
          <w:rFonts w:asciiTheme="majorHAnsi" w:hAnsiTheme="majorHAnsi" w:cstheme="majorHAnsi"/>
          <w:szCs w:val="22"/>
        </w:rPr>
        <w:t>variables, whereas the significance test indicates the likelihood that the effect or relationship is due to chance."</w:t>
      </w:r>
    </w:p>
    <w:p w14:paraId="0F312D5D" w14:textId="77777777" w:rsidR="00D54438"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6CA61223" w14:textId="3A12C240" w:rsidR="00D54438" w:rsidRPr="006F7552"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69421737" w14:textId="77777777" w:rsidR="00C07CCB" w:rsidRPr="006F7552" w:rsidRDefault="00C07CCB" w:rsidP="00744F08">
      <w:pPr>
        <w:pStyle w:val="ListParagraph"/>
        <w:numPr>
          <w:ilvl w:val="0"/>
          <w:numId w:val="5"/>
        </w:numPr>
        <w:rPr>
          <w:rFonts w:asciiTheme="majorHAnsi" w:hAnsiTheme="majorHAnsi" w:cstheme="majorHAnsi"/>
          <w:szCs w:val="22"/>
        </w:rPr>
      </w:pPr>
      <w:r>
        <w:rPr>
          <w:rFonts w:asciiTheme="majorHAnsi" w:hAnsiTheme="majorHAnsi" w:cstheme="majorHAnsi"/>
          <w:szCs w:val="22"/>
        </w:rPr>
        <w:t>H</w:t>
      </w:r>
      <w:r w:rsidRPr="006F7552">
        <w:rPr>
          <w:rFonts w:asciiTheme="majorHAnsi" w:hAnsiTheme="majorHAnsi" w:cstheme="majorHAnsi"/>
          <w:szCs w:val="22"/>
        </w:rPr>
        <w:t>ow would you interpret results that had:</w:t>
      </w:r>
    </w:p>
    <w:p w14:paraId="2781888D" w14:textId="77777777" w:rsidR="00C07CCB" w:rsidRPr="006F7552" w:rsidRDefault="00C07CCB" w:rsidP="00744F08">
      <w:pPr>
        <w:pStyle w:val="ListParagraph"/>
        <w:numPr>
          <w:ilvl w:val="1"/>
          <w:numId w:val="5"/>
        </w:numPr>
        <w:rPr>
          <w:rFonts w:asciiTheme="majorHAnsi" w:hAnsiTheme="majorHAnsi" w:cstheme="majorHAnsi"/>
          <w:szCs w:val="22"/>
        </w:rPr>
      </w:pPr>
      <w:r w:rsidRPr="006F7552">
        <w:rPr>
          <w:rFonts w:asciiTheme="majorHAnsi" w:hAnsiTheme="majorHAnsi" w:cstheme="majorHAnsi"/>
          <w:szCs w:val="22"/>
        </w:rPr>
        <w:t>a large effect size but low significance?</w:t>
      </w:r>
    </w:p>
    <w:p w14:paraId="2F604E75" w14:textId="77777777" w:rsidR="00C07CCB" w:rsidRPr="006F7552" w:rsidRDefault="00C07CCB" w:rsidP="00744F08">
      <w:pPr>
        <w:pStyle w:val="ListParagraph"/>
        <w:numPr>
          <w:ilvl w:val="1"/>
          <w:numId w:val="5"/>
        </w:numPr>
        <w:rPr>
          <w:rFonts w:asciiTheme="majorHAnsi" w:hAnsiTheme="majorHAnsi" w:cstheme="majorHAnsi"/>
          <w:szCs w:val="22"/>
        </w:rPr>
      </w:pPr>
      <w:r w:rsidRPr="006F7552">
        <w:rPr>
          <w:rFonts w:asciiTheme="majorHAnsi" w:hAnsiTheme="majorHAnsi" w:cstheme="majorHAnsi"/>
          <w:szCs w:val="22"/>
        </w:rPr>
        <w:t>a medium effect size and significant</w:t>
      </w:r>
    </w:p>
    <w:p w14:paraId="1CAEB20D" w14:textId="77777777" w:rsidR="00C07CCB" w:rsidRPr="006F7552" w:rsidRDefault="00C07CCB" w:rsidP="00744F08">
      <w:pPr>
        <w:pStyle w:val="ListParagraph"/>
        <w:numPr>
          <w:ilvl w:val="1"/>
          <w:numId w:val="5"/>
        </w:numPr>
        <w:rPr>
          <w:rFonts w:asciiTheme="majorHAnsi" w:hAnsiTheme="majorHAnsi" w:cstheme="majorHAnsi"/>
          <w:szCs w:val="22"/>
        </w:rPr>
      </w:pPr>
      <w:r w:rsidRPr="006F7552">
        <w:rPr>
          <w:rFonts w:asciiTheme="majorHAnsi" w:hAnsiTheme="majorHAnsi" w:cstheme="majorHAnsi"/>
          <w:szCs w:val="22"/>
        </w:rPr>
        <w:t>a small effect size and significant</w:t>
      </w:r>
    </w:p>
    <w:p w14:paraId="74F16480" w14:textId="77777777" w:rsidR="00C07CCB" w:rsidRPr="006F7552" w:rsidRDefault="00C07CCB" w:rsidP="00744F08">
      <w:pPr>
        <w:pStyle w:val="ListParagraph"/>
        <w:numPr>
          <w:ilvl w:val="0"/>
          <w:numId w:val="5"/>
        </w:numPr>
        <w:rPr>
          <w:rFonts w:asciiTheme="majorHAnsi" w:hAnsiTheme="majorHAnsi" w:cstheme="majorHAnsi"/>
          <w:szCs w:val="22"/>
        </w:rPr>
      </w:pPr>
      <w:r w:rsidRPr="006F7552">
        <w:rPr>
          <w:rFonts w:asciiTheme="majorHAnsi" w:hAnsiTheme="majorHAnsi" w:cstheme="majorHAnsi"/>
          <w:szCs w:val="22"/>
        </w:rPr>
        <w:t xml:space="preserve">Do you have data of your own for which you could calculate an effect size? If so, what was recommended when you followed the key presented in Figure 1? Do you agree with the recommendation? </w:t>
      </w:r>
    </w:p>
    <w:p w14:paraId="0B089419" w14:textId="2A5E1F5A" w:rsidR="00C07CCB" w:rsidRPr="00D54438" w:rsidRDefault="00C07CCB" w:rsidP="00744F08">
      <w:pPr>
        <w:pStyle w:val="ListParagraph"/>
        <w:numPr>
          <w:ilvl w:val="0"/>
          <w:numId w:val="5"/>
        </w:numPr>
        <w:rPr>
          <w:rFonts w:asciiTheme="majorHAnsi" w:hAnsiTheme="majorHAnsi" w:cstheme="majorHAnsi"/>
          <w:szCs w:val="22"/>
        </w:rPr>
      </w:pPr>
      <w:r>
        <w:rPr>
          <w:rFonts w:asciiTheme="majorHAnsi" w:hAnsiTheme="majorHAnsi" w:cstheme="majorHAnsi"/>
          <w:szCs w:val="22"/>
        </w:rPr>
        <w:t>A</w:t>
      </w:r>
      <w:r w:rsidRPr="006F7552">
        <w:rPr>
          <w:rFonts w:asciiTheme="majorHAnsi" w:hAnsiTheme="majorHAnsi" w:cstheme="majorHAnsi"/>
          <w:szCs w:val="22"/>
        </w:rPr>
        <w:t>re there common issues you face when trying to measure significance, or effect size,</w:t>
      </w:r>
      <w:r w:rsidR="00E84967">
        <w:rPr>
          <w:rFonts w:asciiTheme="majorHAnsi" w:hAnsiTheme="majorHAnsi" w:cstheme="majorHAnsi"/>
          <w:szCs w:val="22"/>
        </w:rPr>
        <w:t xml:space="preserve"> in your educational research? </w:t>
      </w:r>
      <w:r w:rsidRPr="006F7552">
        <w:rPr>
          <w:rFonts w:asciiTheme="majorHAnsi" w:hAnsiTheme="majorHAnsi" w:cstheme="majorHAnsi"/>
          <w:szCs w:val="22"/>
        </w:rPr>
        <w:t>What are the issues? Were any of them resolved by this paper?</w:t>
      </w:r>
    </w:p>
    <w:p w14:paraId="7A38B212" w14:textId="5E88D889" w:rsidR="00D54438" w:rsidRPr="004B68B0" w:rsidRDefault="00D54438" w:rsidP="00D54438">
      <w:pPr>
        <w:pStyle w:val="Heading3"/>
      </w:pPr>
      <w:r>
        <w:t>Invention activities</w:t>
      </w:r>
    </w:p>
    <w:p w14:paraId="632635F5" w14:textId="57D5E6C7" w:rsidR="00C07CCB"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D54438">
        <w:rPr>
          <w:rFonts w:asciiTheme="majorHAnsi" w:hAnsiTheme="majorHAnsi" w:cstheme="majorHAnsi"/>
          <w:b/>
          <w:szCs w:val="22"/>
        </w:rPr>
        <w:t>“Invention Activities: A Path to Expertise.”</w:t>
      </w:r>
      <w:r w:rsidRPr="008E776B">
        <w:rPr>
          <w:rFonts w:asciiTheme="majorHAnsi" w:hAnsiTheme="majorHAnsi" w:cstheme="majorHAnsi"/>
          <w:szCs w:val="22"/>
        </w:rPr>
        <w:t xml:space="preserve"> </w:t>
      </w:r>
      <w:r w:rsidR="00C07CCB" w:rsidRPr="008E776B">
        <w:rPr>
          <w:rFonts w:asciiTheme="majorHAnsi" w:hAnsiTheme="majorHAnsi" w:cstheme="majorHAnsi"/>
          <w:szCs w:val="22"/>
        </w:rPr>
        <w:t>Day, J., Adams, W., Wieman, C. E., Schw</w:t>
      </w:r>
      <w:r w:rsidR="00C07CCB">
        <w:rPr>
          <w:rFonts w:asciiTheme="majorHAnsi" w:hAnsiTheme="majorHAnsi" w:cstheme="majorHAnsi"/>
          <w:szCs w:val="22"/>
        </w:rPr>
        <w:t>artz, D. L., &amp; Bonn, D. A. (2014</w:t>
      </w:r>
      <w:r>
        <w:rPr>
          <w:rFonts w:asciiTheme="majorHAnsi" w:hAnsiTheme="majorHAnsi" w:cstheme="majorHAnsi"/>
          <w:szCs w:val="22"/>
        </w:rPr>
        <w:t>)</w:t>
      </w:r>
      <w:r w:rsidR="00C07CCB">
        <w:rPr>
          <w:rFonts w:asciiTheme="majorHAnsi" w:hAnsiTheme="majorHAnsi" w:cstheme="majorHAnsi"/>
          <w:szCs w:val="22"/>
        </w:rPr>
        <w:t xml:space="preserve">. </w:t>
      </w:r>
      <w:r w:rsidR="00C07CCB" w:rsidRPr="008E776B">
        <w:rPr>
          <w:rFonts w:asciiTheme="majorHAnsi" w:hAnsiTheme="majorHAnsi" w:cstheme="majorHAnsi"/>
          <w:szCs w:val="22"/>
        </w:rPr>
        <w:t>P</w:t>
      </w:r>
      <w:r w:rsidR="00C07CCB">
        <w:rPr>
          <w:rFonts w:asciiTheme="majorHAnsi" w:hAnsiTheme="majorHAnsi" w:cstheme="majorHAnsi"/>
          <w:szCs w:val="22"/>
        </w:rPr>
        <w:t>hysics in Canada, 70(2), 81-83</w:t>
      </w:r>
      <w:r w:rsidR="00C07CCB" w:rsidRPr="008E776B">
        <w:rPr>
          <w:rFonts w:asciiTheme="majorHAnsi" w:hAnsiTheme="majorHAnsi" w:cstheme="majorHAnsi"/>
          <w:szCs w:val="22"/>
        </w:rPr>
        <w:t>.</w:t>
      </w:r>
    </w:p>
    <w:p w14:paraId="4BF0DEA8" w14:textId="77777777" w:rsidR="00C07CCB" w:rsidRPr="008E776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729AA706" w14:textId="687AA07E" w:rsidR="00C07CCB" w:rsidRPr="008E776B"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Questions for discussion:</w:t>
      </w:r>
    </w:p>
    <w:p w14:paraId="320682C6" w14:textId="77777777" w:rsidR="00C07CCB" w:rsidRPr="008E776B" w:rsidRDefault="00C07CCB" w:rsidP="00744F08">
      <w:pPr>
        <w:pStyle w:val="ListParagraph"/>
        <w:numPr>
          <w:ilvl w:val="0"/>
          <w:numId w:val="14"/>
        </w:numPr>
        <w:rPr>
          <w:rFonts w:asciiTheme="majorHAnsi" w:hAnsiTheme="majorHAnsi" w:cstheme="majorHAnsi"/>
          <w:szCs w:val="22"/>
        </w:rPr>
      </w:pPr>
      <w:r w:rsidRPr="008E776B">
        <w:rPr>
          <w:rFonts w:asciiTheme="majorHAnsi" w:hAnsiTheme="majorHAnsi" w:cstheme="majorHAnsi"/>
          <w:szCs w:val="22"/>
        </w:rPr>
        <w:t>Using the tips in the article, can you create your own invention activity? Sketch out an idea, and bring it to the reading group.</w:t>
      </w:r>
    </w:p>
    <w:p w14:paraId="3ED3A77E" w14:textId="49A70EE9" w:rsidR="00C07CCB" w:rsidRPr="008E776B" w:rsidRDefault="00C07CCB" w:rsidP="00744F08">
      <w:pPr>
        <w:pStyle w:val="ListParagraph"/>
        <w:numPr>
          <w:ilvl w:val="0"/>
          <w:numId w:val="14"/>
        </w:numPr>
        <w:rPr>
          <w:rFonts w:asciiTheme="majorHAnsi" w:hAnsiTheme="majorHAnsi" w:cstheme="majorHAnsi"/>
          <w:szCs w:val="22"/>
        </w:rPr>
      </w:pPr>
      <w:r w:rsidRPr="008E776B">
        <w:rPr>
          <w:rFonts w:asciiTheme="majorHAnsi" w:hAnsiTheme="majorHAnsi" w:cstheme="majorHAnsi"/>
          <w:szCs w:val="22"/>
        </w:rPr>
        <w:t>In the second paragraph of the section entitled "The difference between experts and novices"</w:t>
      </w:r>
      <w:r w:rsidR="00CB4FA4">
        <w:rPr>
          <w:rFonts w:asciiTheme="majorHAnsi" w:hAnsiTheme="majorHAnsi" w:cstheme="majorHAnsi"/>
          <w:szCs w:val="22"/>
        </w:rPr>
        <w:t>,</w:t>
      </w:r>
      <w:r w:rsidRPr="008E776B">
        <w:rPr>
          <w:rFonts w:asciiTheme="majorHAnsi" w:hAnsiTheme="majorHAnsi" w:cstheme="majorHAnsi"/>
          <w:szCs w:val="22"/>
        </w:rPr>
        <w:t xml:space="preserve"> I count four explicit contrasts between experts and novices. Can you come up with specific examples in your discipline for each of these contrasts?</w:t>
      </w:r>
    </w:p>
    <w:p w14:paraId="58CD6423" w14:textId="77777777" w:rsidR="00C07CCB" w:rsidRPr="008E776B" w:rsidRDefault="00C07CCB" w:rsidP="00744F08">
      <w:pPr>
        <w:pStyle w:val="ListParagraph"/>
        <w:numPr>
          <w:ilvl w:val="0"/>
          <w:numId w:val="14"/>
        </w:numPr>
        <w:rPr>
          <w:rFonts w:asciiTheme="majorHAnsi" w:hAnsiTheme="majorHAnsi" w:cstheme="majorHAnsi"/>
          <w:szCs w:val="22"/>
        </w:rPr>
      </w:pPr>
      <w:r w:rsidRPr="008E776B">
        <w:rPr>
          <w:rFonts w:asciiTheme="majorHAnsi" w:hAnsiTheme="majorHAnsi" w:cstheme="majorHAnsi"/>
          <w:szCs w:val="22"/>
        </w:rPr>
        <w:t>Which of the expert/novice differences do invention activities hit, and why?</w:t>
      </w:r>
    </w:p>
    <w:p w14:paraId="43B27CB2" w14:textId="0DA1B736" w:rsidR="00C07CCB" w:rsidRPr="00D54438" w:rsidRDefault="00C07CCB" w:rsidP="00744F08">
      <w:pPr>
        <w:pStyle w:val="ListParagraph"/>
        <w:numPr>
          <w:ilvl w:val="0"/>
          <w:numId w:val="14"/>
        </w:numPr>
        <w:rPr>
          <w:rFonts w:asciiTheme="majorHAnsi" w:hAnsiTheme="majorHAnsi" w:cstheme="majorHAnsi"/>
          <w:szCs w:val="22"/>
        </w:rPr>
      </w:pPr>
      <w:r w:rsidRPr="008E776B">
        <w:rPr>
          <w:rFonts w:asciiTheme="majorHAnsi" w:hAnsiTheme="majorHAnsi" w:cstheme="majorHAnsi"/>
          <w:szCs w:val="22"/>
        </w:rPr>
        <w:t>How would you facilitate an invention activity in the classroom, to promote the type of engagement we want? (i.e. How to present it to the class? What if a student is engaging in 'equation hunting'? What language to use in the follow-up?)</w:t>
      </w:r>
    </w:p>
    <w:p w14:paraId="196F32BD" w14:textId="29E873F2" w:rsidR="00D54438" w:rsidRPr="004B68B0" w:rsidRDefault="00D54438" w:rsidP="00D54438">
      <w:pPr>
        <w:pStyle w:val="Heading3"/>
      </w:pPr>
      <w:r>
        <w:t>Instrument validation</w:t>
      </w:r>
    </w:p>
    <w:p w14:paraId="3166A071" w14:textId="6FF5874D" w:rsidR="00C07CCB"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sidRPr="00D54438">
        <w:rPr>
          <w:rFonts w:asciiTheme="majorHAnsi" w:hAnsiTheme="majorHAnsi" w:cstheme="majorHAnsi"/>
          <w:b/>
          <w:szCs w:val="22"/>
        </w:rPr>
        <w:t>“Development and Initial Validation of the Beliefs About Reformed Science Teaching and Learning (BARSTL) Questionnaire: The BARSTL</w:t>
      </w:r>
      <w:r>
        <w:rPr>
          <w:rFonts w:asciiTheme="majorHAnsi" w:hAnsiTheme="majorHAnsi" w:cstheme="majorHAnsi"/>
          <w:b/>
          <w:szCs w:val="22"/>
        </w:rPr>
        <w:t>.</w:t>
      </w:r>
      <w:r w:rsidRPr="00D54438">
        <w:rPr>
          <w:rFonts w:asciiTheme="majorHAnsi" w:hAnsiTheme="majorHAnsi" w:cstheme="majorHAnsi"/>
          <w:b/>
          <w:szCs w:val="22"/>
        </w:rPr>
        <w:t>”</w:t>
      </w:r>
      <w:r>
        <w:rPr>
          <w:rFonts w:asciiTheme="majorHAnsi" w:hAnsiTheme="majorHAnsi" w:cstheme="majorHAnsi"/>
          <w:szCs w:val="22"/>
        </w:rPr>
        <w:t xml:space="preserve"> </w:t>
      </w:r>
      <w:r w:rsidR="00C07CCB" w:rsidRPr="00F83126">
        <w:rPr>
          <w:rFonts w:asciiTheme="majorHAnsi" w:hAnsiTheme="majorHAnsi" w:cstheme="majorHAnsi"/>
          <w:szCs w:val="22"/>
        </w:rPr>
        <w:t xml:space="preserve">Sampson, V., </w:t>
      </w:r>
      <w:proofErr w:type="spellStart"/>
      <w:r w:rsidR="00C07CCB" w:rsidRPr="00F83126">
        <w:rPr>
          <w:rFonts w:asciiTheme="majorHAnsi" w:hAnsiTheme="majorHAnsi" w:cstheme="majorHAnsi"/>
          <w:szCs w:val="22"/>
        </w:rPr>
        <w:t>Enderle</w:t>
      </w:r>
      <w:proofErr w:type="spellEnd"/>
      <w:r w:rsidR="00C07CCB" w:rsidRPr="00F83126">
        <w:rPr>
          <w:rFonts w:asciiTheme="majorHAnsi" w:hAnsiTheme="majorHAnsi" w:cstheme="majorHAnsi"/>
          <w:szCs w:val="22"/>
        </w:rPr>
        <w:t xml:space="preserve">, P., &amp; Grooms, J. (2013). School Science and Mathematics, 113(1), 3–15. </w:t>
      </w:r>
      <w:hyperlink r:id="rId17" w:history="1">
        <w:r w:rsidR="00C07CCB" w:rsidRPr="00BB195C">
          <w:rPr>
            <w:rStyle w:val="Hyperlink"/>
            <w:rFonts w:asciiTheme="majorHAnsi" w:hAnsiTheme="majorHAnsi" w:cstheme="majorHAnsi"/>
            <w:szCs w:val="22"/>
          </w:rPr>
          <w:t>https://doi.org/10.1111/j.1949-8594.2013.00175.x</w:t>
        </w:r>
      </w:hyperlink>
    </w:p>
    <w:p w14:paraId="4925D87B" w14:textId="77777777" w:rsidR="00C07CCB" w:rsidRDefault="00C07CCB"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p>
    <w:p w14:paraId="70770B0B" w14:textId="3954903B" w:rsidR="00AD3F79" w:rsidRPr="00ED01CF" w:rsidRDefault="00D54438" w:rsidP="004B68B0">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Cs w:val="22"/>
        </w:rPr>
      </w:pPr>
      <w:r>
        <w:rPr>
          <w:rFonts w:asciiTheme="majorHAnsi" w:hAnsiTheme="majorHAnsi" w:cstheme="majorHAnsi"/>
          <w:szCs w:val="22"/>
        </w:rPr>
        <w:t xml:space="preserve">Discussion prompt: </w:t>
      </w:r>
      <w:r w:rsidR="00C07CCB" w:rsidRPr="00F83126">
        <w:rPr>
          <w:rFonts w:asciiTheme="majorHAnsi" w:hAnsiTheme="majorHAnsi" w:cstheme="majorHAnsi"/>
          <w:szCs w:val="22"/>
        </w:rPr>
        <w:t>A really useful direction for our discussion would be (a) to gather some opinions about this instrument, and (b) to discuss any other surveys/methods people have used to measure some aspect of grad stud</w:t>
      </w:r>
      <w:r w:rsidR="00E84967">
        <w:rPr>
          <w:rFonts w:asciiTheme="majorHAnsi" w:hAnsiTheme="majorHAnsi" w:cstheme="majorHAnsi"/>
          <w:szCs w:val="22"/>
        </w:rPr>
        <w:t>ent/TA professional development-</w:t>
      </w:r>
      <w:r w:rsidR="00C07CCB" w:rsidRPr="00F83126">
        <w:rPr>
          <w:rFonts w:asciiTheme="majorHAnsi" w:hAnsiTheme="majorHAnsi" w:cstheme="majorHAnsi"/>
          <w:szCs w:val="22"/>
        </w:rPr>
        <w:t>please feel free to bring along anything you have been working on or have used in the past.</w:t>
      </w:r>
    </w:p>
    <w:sectPr w:rsidR="00AD3F79" w:rsidRPr="00ED01CF" w:rsidSect="00486762">
      <w:headerReference w:type="default" r:id="rId18"/>
      <w:footerReference w:type="even" r:id="rId19"/>
      <w:footerReference w:type="default" r:id="rId20"/>
      <w:headerReference w:type="first" r:id="rId21"/>
      <w:footerReference w:type="first" r:id="rId22"/>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B691" w14:textId="77777777" w:rsidR="00DC17D6" w:rsidRDefault="00DC17D6">
      <w:r>
        <w:separator/>
      </w:r>
    </w:p>
  </w:endnote>
  <w:endnote w:type="continuationSeparator" w:id="0">
    <w:p w14:paraId="346A9CA9" w14:textId="77777777" w:rsidR="00DC17D6" w:rsidRDefault="00DC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071F4A69"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2784">
          <w:rPr>
            <w:rStyle w:val="PageNumber"/>
            <w:noProof/>
          </w:rPr>
          <w:t>5</w:t>
        </w:r>
        <w:r>
          <w:rPr>
            <w:rStyle w:val="PageNumber"/>
          </w:rPr>
          <w:fldChar w:fldCharType="end"/>
        </w:r>
      </w:p>
    </w:sdtContent>
  </w:sdt>
  <w:p w14:paraId="767EFD99" w14:textId="25B86084" w:rsidR="00502550" w:rsidRPr="00486762" w:rsidRDefault="005C2FA8" w:rsidP="005849CF">
    <w:pPr>
      <w:shd w:val="clear" w:color="auto" w:fill="D9D9D9"/>
      <w:tabs>
        <w:tab w:val="center" w:pos="4680"/>
        <w:tab w:val="right" w:pos="9360"/>
      </w:tabs>
      <w:ind w:right="360"/>
      <w:rPr>
        <w:sz w:val="20"/>
        <w:szCs w:val="20"/>
      </w:rPr>
    </w:pPr>
    <w:r>
      <w:rPr>
        <w:i/>
        <w:sz w:val="20"/>
        <w:szCs w:val="20"/>
      </w:rPr>
      <w:t xml:space="preserve">Reading Group Selections and </w:t>
    </w:r>
    <w:r w:rsidR="005849CF">
      <w:rPr>
        <w:i/>
        <w:sz w:val="20"/>
        <w:szCs w:val="20"/>
      </w:rPr>
      <w:t>Discussion Prompts</w:t>
    </w:r>
    <w:r w:rsidR="005849CF">
      <w:rPr>
        <w:sz w:val="20"/>
        <w:szCs w:val="20"/>
      </w:rPr>
      <w:tab/>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1D983545" w:rsidR="00502550" w:rsidRDefault="00502550" w:rsidP="00D54438">
        <w:pPr>
          <w:pStyle w:val="Footer"/>
          <w:framePr w:wrap="none" w:vAnchor="text" w:hAnchor="page" w:x="11106" w:y="46"/>
          <w:rPr>
            <w:rStyle w:val="PageNumber"/>
          </w:rPr>
        </w:pPr>
        <w:r>
          <w:rPr>
            <w:rStyle w:val="PageNumber"/>
          </w:rPr>
          <w:fldChar w:fldCharType="begin"/>
        </w:r>
        <w:r>
          <w:rPr>
            <w:rStyle w:val="PageNumber"/>
          </w:rPr>
          <w:instrText xml:space="preserve"> PAGE </w:instrText>
        </w:r>
        <w:r>
          <w:rPr>
            <w:rStyle w:val="PageNumber"/>
          </w:rPr>
          <w:fldChar w:fldCharType="separate"/>
        </w:r>
        <w:r w:rsidR="007C2784">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5603" w14:textId="77777777" w:rsidR="00DC17D6" w:rsidRDefault="00DC17D6">
      <w:r>
        <w:separator/>
      </w:r>
    </w:p>
  </w:footnote>
  <w:footnote w:type="continuationSeparator" w:id="0">
    <w:p w14:paraId="745FE5A1" w14:textId="77777777" w:rsidR="00DC17D6" w:rsidRDefault="00DC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5FF5" w14:textId="03A6C268" w:rsidR="005849CF" w:rsidRPr="00B3068A" w:rsidRDefault="00B3068A" w:rsidP="00B3068A">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087307FA" wp14:editId="3487449B">
          <wp:simplePos x="0" y="0"/>
          <wp:positionH relativeFrom="column">
            <wp:posOffset>0</wp:posOffset>
          </wp:positionH>
          <wp:positionV relativeFrom="paragraph">
            <wp:posOffset>22127</wp:posOffset>
          </wp:positionV>
          <wp:extent cx="843915"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3915" cy="421005"/>
                  </a:xfrm>
                  <a:prstGeom prst="rect">
                    <a:avLst/>
                  </a:prstGeom>
                </pic:spPr>
              </pic:pic>
            </a:graphicData>
          </a:graphic>
          <wp14:sizeRelH relativeFrom="page">
            <wp14:pctWidth>0</wp14:pctWidth>
          </wp14:sizeRelH>
          <wp14:sizeRelV relativeFrom="page">
            <wp14:pctHeight>0</wp14:pctHeight>
          </wp14:sizeRelV>
        </wp:anchor>
      </w:drawing>
    </w:r>
    <w:r w:rsidR="005849CF" w:rsidRPr="00B3068A">
      <w:rPr>
        <w:rFonts w:ascii="Arial" w:hAnsi="Arial" w:cs="Arial"/>
        <w:i/>
        <w:sz w:val="20"/>
        <w:szCs w:val="20"/>
      </w:rPr>
      <w:t xml:space="preserve"> </w:t>
    </w:r>
    <w:r>
      <w:rPr>
        <w:rFonts w:ascii="Arial" w:hAnsi="Arial" w:cs="Arial"/>
        <w:i/>
        <w:sz w:val="20"/>
        <w:szCs w:val="20"/>
      </w:rPr>
      <w:t xml:space="preserve">Reading Group Selections and </w:t>
    </w:r>
    <w:r w:rsidR="005849CF" w:rsidRPr="00B3068A">
      <w:rPr>
        <w:rFonts w:ascii="Arial" w:hAnsi="Arial" w:cs="Arial"/>
        <w:i/>
        <w:sz w:val="20"/>
        <w:szCs w:val="20"/>
      </w:rPr>
      <w:t>Discussion Prompts</w:t>
    </w:r>
  </w:p>
  <w:p w14:paraId="67D3B868" w14:textId="33841DB9" w:rsidR="00AD3F79" w:rsidRPr="00B3068A" w:rsidRDefault="001734FD" w:rsidP="00B3068A">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B3068A">
      <w:rPr>
        <w:rFonts w:ascii="Arial" w:hAnsi="Arial" w:cs="Arial"/>
        <w:sz w:val="20"/>
        <w:szCs w:val="20"/>
      </w:rPr>
      <w:t xml:space="preserve">Updated: </w:t>
    </w:r>
    <w:r w:rsidR="007C2784" w:rsidRPr="00B3068A">
      <w:rPr>
        <w:rFonts w:ascii="Arial" w:hAnsi="Arial" w:cs="Arial"/>
        <w:sz w:val="20"/>
        <w:szCs w:val="20"/>
      </w:rPr>
      <w:t>August</w:t>
    </w:r>
    <w:r w:rsidR="005849CF" w:rsidRPr="00B3068A">
      <w:rPr>
        <w:rFonts w:ascii="Arial" w:hAnsi="Arial" w:cs="Arial"/>
        <w:sz w:val="20"/>
        <w:szCs w:val="20"/>
      </w:rPr>
      <w:t xml:space="preserve"> 2018</w:t>
    </w:r>
  </w:p>
  <w:p w14:paraId="6C815086" w14:textId="38BFE40E" w:rsidR="00B3068A" w:rsidRPr="00B3068A" w:rsidRDefault="00B3068A" w:rsidP="00B3068A">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B3068A">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7BA4"/>
    <w:multiLevelType w:val="hybridMultilevel"/>
    <w:tmpl w:val="23F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35467"/>
    <w:multiLevelType w:val="hybridMultilevel"/>
    <w:tmpl w:val="88D6F450"/>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2A1360"/>
    <w:multiLevelType w:val="hybridMultilevel"/>
    <w:tmpl w:val="146CB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5A5EAA"/>
    <w:multiLevelType w:val="hybridMultilevel"/>
    <w:tmpl w:val="BB44B8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2F1E0C"/>
    <w:multiLevelType w:val="hybridMultilevel"/>
    <w:tmpl w:val="F4A4C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6B1EC0"/>
    <w:multiLevelType w:val="hybridMultilevel"/>
    <w:tmpl w:val="A298458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452180"/>
    <w:multiLevelType w:val="hybridMultilevel"/>
    <w:tmpl w:val="CB0E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66B00"/>
    <w:multiLevelType w:val="hybridMultilevel"/>
    <w:tmpl w:val="763A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96275"/>
    <w:multiLevelType w:val="hybridMultilevel"/>
    <w:tmpl w:val="D09EFA1E"/>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39D583B"/>
    <w:multiLevelType w:val="hybridMultilevel"/>
    <w:tmpl w:val="2BC239C0"/>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A575E4"/>
    <w:multiLevelType w:val="hybridMultilevel"/>
    <w:tmpl w:val="F516EF1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BB1E2D"/>
    <w:multiLevelType w:val="hybridMultilevel"/>
    <w:tmpl w:val="D454239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7C2A3262"/>
    <w:multiLevelType w:val="hybridMultilevel"/>
    <w:tmpl w:val="3E1AC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37913"/>
    <w:multiLevelType w:val="hybridMultilevel"/>
    <w:tmpl w:val="4274C99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3"/>
  </w:num>
  <w:num w:numId="6">
    <w:abstractNumId w:val="11"/>
  </w:num>
  <w:num w:numId="7">
    <w:abstractNumId w:val="12"/>
  </w:num>
  <w:num w:numId="8">
    <w:abstractNumId w:val="10"/>
  </w:num>
  <w:num w:numId="9">
    <w:abstractNumId w:val="8"/>
  </w:num>
  <w:num w:numId="10">
    <w:abstractNumId w:val="1"/>
  </w:num>
  <w:num w:numId="11">
    <w:abstractNumId w:val="13"/>
  </w:num>
  <w:num w:numId="12">
    <w:abstractNumId w:val="9"/>
  </w:num>
  <w:num w:numId="13">
    <w:abstractNumId w:val="6"/>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313C9"/>
    <w:rsid w:val="0004167C"/>
    <w:rsid w:val="00081810"/>
    <w:rsid w:val="000D5362"/>
    <w:rsid w:val="0014436F"/>
    <w:rsid w:val="001557D6"/>
    <w:rsid w:val="0017164C"/>
    <w:rsid w:val="001734FD"/>
    <w:rsid w:val="001A2F40"/>
    <w:rsid w:val="001C0640"/>
    <w:rsid w:val="001F7B6B"/>
    <w:rsid w:val="00207755"/>
    <w:rsid w:val="00216CE8"/>
    <w:rsid w:val="002902C4"/>
    <w:rsid w:val="00332383"/>
    <w:rsid w:val="003B123F"/>
    <w:rsid w:val="003C3430"/>
    <w:rsid w:val="004203FB"/>
    <w:rsid w:val="00430017"/>
    <w:rsid w:val="00435211"/>
    <w:rsid w:val="00486762"/>
    <w:rsid w:val="004A65CB"/>
    <w:rsid w:val="004B68B0"/>
    <w:rsid w:val="004C4250"/>
    <w:rsid w:val="004F6B4F"/>
    <w:rsid w:val="00502550"/>
    <w:rsid w:val="005849CF"/>
    <w:rsid w:val="005C2FA8"/>
    <w:rsid w:val="0060328B"/>
    <w:rsid w:val="00624621"/>
    <w:rsid w:val="0065272C"/>
    <w:rsid w:val="006A0ADA"/>
    <w:rsid w:val="007107F8"/>
    <w:rsid w:val="00744F08"/>
    <w:rsid w:val="00764F89"/>
    <w:rsid w:val="007A1AA0"/>
    <w:rsid w:val="007C2784"/>
    <w:rsid w:val="008103E1"/>
    <w:rsid w:val="008272C1"/>
    <w:rsid w:val="008B16D1"/>
    <w:rsid w:val="008D5281"/>
    <w:rsid w:val="00912020"/>
    <w:rsid w:val="0092154D"/>
    <w:rsid w:val="009703B5"/>
    <w:rsid w:val="00A24956"/>
    <w:rsid w:val="00A6732A"/>
    <w:rsid w:val="00AB2CD7"/>
    <w:rsid w:val="00AD3F79"/>
    <w:rsid w:val="00B3068A"/>
    <w:rsid w:val="00B760E9"/>
    <w:rsid w:val="00BC5C09"/>
    <w:rsid w:val="00BD7F81"/>
    <w:rsid w:val="00BE5BA5"/>
    <w:rsid w:val="00BF0651"/>
    <w:rsid w:val="00C07CCB"/>
    <w:rsid w:val="00C7184F"/>
    <w:rsid w:val="00C73454"/>
    <w:rsid w:val="00C81FBD"/>
    <w:rsid w:val="00C965B2"/>
    <w:rsid w:val="00CB4FA4"/>
    <w:rsid w:val="00D10F5A"/>
    <w:rsid w:val="00D12F21"/>
    <w:rsid w:val="00D54438"/>
    <w:rsid w:val="00D6575A"/>
    <w:rsid w:val="00DB0AD0"/>
    <w:rsid w:val="00DB748E"/>
    <w:rsid w:val="00DC17D6"/>
    <w:rsid w:val="00DD4AB5"/>
    <w:rsid w:val="00E17E33"/>
    <w:rsid w:val="00E84967"/>
    <w:rsid w:val="00ED01CF"/>
    <w:rsid w:val="00ED1461"/>
    <w:rsid w:val="00EF417E"/>
    <w:rsid w:val="00F55E75"/>
    <w:rsid w:val="00FB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34FD"/>
    <w:rPr>
      <w:rFonts w:ascii="Calibri" w:hAnsi="Calibri"/>
      <w:sz w:val="22"/>
    </w:rPr>
  </w:style>
  <w:style w:type="paragraph" w:styleId="Heading1">
    <w:name w:val="heading 1"/>
    <w:basedOn w:val="Normal"/>
    <w:next w:val="Normal"/>
    <w:rsid w:val="001734FD"/>
    <w:pPr>
      <w:keepNext/>
      <w:keepLines/>
      <w:spacing w:before="200"/>
      <w:outlineLvl w:val="0"/>
    </w:pPr>
    <w:rPr>
      <w:rFonts w:ascii="Cambria" w:eastAsia="Cambria" w:hAnsi="Cambria" w:cs="Cambria"/>
      <w:b/>
      <w:sz w:val="36"/>
      <w:szCs w:val="28"/>
    </w:rPr>
  </w:style>
  <w:style w:type="paragraph" w:styleId="Heading2">
    <w:name w:val="heading 2"/>
    <w:basedOn w:val="Normal"/>
    <w:next w:val="Normal"/>
    <w:pPr>
      <w:keepNext/>
      <w:keepLines/>
      <w:spacing w:before="360" w:after="80"/>
      <w:outlineLvl w:val="1"/>
    </w:pPr>
    <w:rPr>
      <w:rFonts w:eastAsia="Calibri" w:cs="Calibri"/>
      <w:b/>
      <w:sz w:val="28"/>
      <w:szCs w:val="28"/>
      <w:u w:val="single"/>
    </w:rPr>
  </w:style>
  <w:style w:type="paragraph" w:styleId="Heading3">
    <w:name w:val="heading 3"/>
    <w:basedOn w:val="Normal"/>
    <w:next w:val="Normal"/>
    <w:rsid w:val="00E17E33"/>
    <w:pPr>
      <w:keepNext/>
      <w:keepLines/>
      <w:spacing w:before="280" w:after="80"/>
      <w:outlineLvl w:val="2"/>
    </w:pPr>
    <w:rPr>
      <w:rFonts w:ascii="Cambria" w:eastAsia="Calibri" w:hAnsi="Cambria" w:cs="Calibri"/>
      <w:b/>
      <w:sz w:val="28"/>
    </w:rPr>
  </w:style>
  <w:style w:type="paragraph" w:styleId="Heading4">
    <w:name w:val="heading 4"/>
    <w:basedOn w:val="Normal"/>
    <w:next w:val="Normal"/>
    <w:rsid w:val="004203FB"/>
    <w:pPr>
      <w:keepNext/>
      <w:keepLines/>
      <w:contextualSpacing/>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4FD"/>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1734FD"/>
    <w:rPr>
      <w:rFonts w:ascii="Cambria" w:hAnsi="Cambria"/>
      <w:b/>
      <w:sz w:val="40"/>
      <w:szCs w:val="72"/>
    </w:rPr>
  </w:style>
  <w:style w:type="paragraph" w:styleId="ListParagraph">
    <w:name w:val="List Paragraph"/>
    <w:basedOn w:val="Normal"/>
    <w:uiPriority w:val="34"/>
    <w:qFormat/>
    <w:rsid w:val="00AB2CD7"/>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wsei.ubc.ca/resources/papers.htm" TargetMode="External"/><Relationship Id="rId13" Type="http://schemas.openxmlformats.org/officeDocument/2006/relationships/hyperlink" Target="https://doi.org/10.2466/pr0.1996.78.3c.136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ressbooks.bccampus.ca/seihandbook/chapter/supplemental-documents/" TargetMode="External"/><Relationship Id="rId12" Type="http://schemas.openxmlformats.org/officeDocument/2006/relationships/hyperlink" Target="http://arxiv.org/abs/1108.1591" TargetMode="External"/><Relationship Id="rId17" Type="http://schemas.openxmlformats.org/officeDocument/2006/relationships/hyperlink" Target="https://doi.org/10.1111/j.1949-8594.2013.00175.x" TargetMode="External"/><Relationship Id="rId2" Type="http://schemas.openxmlformats.org/officeDocument/2006/relationships/styles" Target="styles.xml"/><Relationship Id="rId16" Type="http://schemas.openxmlformats.org/officeDocument/2006/relationships/hyperlink" Target="https://doi.org/10.1187/cbe.13-04-008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7/cbe.10-09-01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87/cbe.11-07-0061" TargetMode="External"/><Relationship Id="rId23" Type="http://schemas.openxmlformats.org/officeDocument/2006/relationships/fontTable" Target="fontTable.xml"/><Relationship Id="rId10" Type="http://schemas.openxmlformats.org/officeDocument/2006/relationships/hyperlink" Target="https://doi.org/10.1063/1.326672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nlinelibrary.wiley.com/doi/10.1111/mbe.12117/full" TargetMode="External"/><Relationship Id="rId14" Type="http://schemas.openxmlformats.org/officeDocument/2006/relationships/hyperlink" Target="https://doi.org/10.1187/cbe.11-12-011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40</cp:revision>
  <dcterms:created xsi:type="dcterms:W3CDTF">2018-07-03T18:16:00Z</dcterms:created>
  <dcterms:modified xsi:type="dcterms:W3CDTF">2018-08-24T14:16:00Z</dcterms:modified>
</cp:coreProperties>
</file>