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D353" w14:textId="5ED98C2D" w:rsidR="0013238B" w:rsidRPr="0013238B" w:rsidRDefault="0013238B" w:rsidP="002F0E32">
      <w:pPr>
        <w:pStyle w:val="Title"/>
      </w:pPr>
      <w:r w:rsidRPr="0013238B">
        <w:t xml:space="preserve">Assessment Metrics </w:t>
      </w:r>
      <w:r w:rsidR="002F2272">
        <w:t>U</w:t>
      </w:r>
      <w:r w:rsidR="002F2272" w:rsidRPr="0013238B">
        <w:t xml:space="preserve">sed </w:t>
      </w:r>
      <w:r w:rsidRPr="0013238B">
        <w:t>in the Science Education Initiative (SEI)</w:t>
      </w:r>
    </w:p>
    <w:p w14:paraId="67B6E2E9" w14:textId="5A4D99AF" w:rsidR="0013238B" w:rsidRPr="00730CFE" w:rsidRDefault="002F0E32" w:rsidP="0013238B">
      <w:pPr>
        <w:jc w:val="center"/>
        <w:rPr>
          <w:rFonts w:asciiTheme="minorHAnsi" w:hAnsiTheme="minorHAnsi"/>
          <w:i/>
          <w:sz w:val="20"/>
          <w:szCs w:val="20"/>
        </w:rPr>
      </w:pPr>
      <w:bookmarkStart w:id="0" w:name="_Hlk518381763"/>
      <w:r w:rsidRPr="00730CFE">
        <w:rPr>
          <w:rFonts w:asciiTheme="minorHAnsi" w:hAnsiTheme="minorHAnsi"/>
          <w:i/>
          <w:sz w:val="20"/>
          <w:szCs w:val="20"/>
        </w:rPr>
        <w:t xml:space="preserve">Source: </w:t>
      </w:r>
      <w:r w:rsidR="00E20351" w:rsidRPr="00730CFE">
        <w:rPr>
          <w:rFonts w:asciiTheme="minorHAnsi" w:hAnsiTheme="minorHAnsi"/>
          <w:i/>
          <w:sz w:val="20"/>
          <w:szCs w:val="20"/>
        </w:rPr>
        <w:t xml:space="preserve">Stephanie Chasteen, </w:t>
      </w:r>
      <w:r w:rsidR="00730CFE" w:rsidRPr="00730CFE">
        <w:rPr>
          <w:rFonts w:asciiTheme="minorHAnsi" w:hAnsiTheme="minorHAnsi"/>
          <w:i/>
          <w:sz w:val="20"/>
          <w:szCs w:val="20"/>
        </w:rPr>
        <w:t>Warren Code</w:t>
      </w:r>
      <w:r w:rsidR="00886CC3" w:rsidRPr="00730CFE">
        <w:rPr>
          <w:rFonts w:asciiTheme="minorHAnsi" w:hAnsiTheme="minorHAnsi"/>
          <w:i/>
          <w:sz w:val="20"/>
          <w:szCs w:val="20"/>
        </w:rPr>
        <w:t>, and Wieman (2017)</w:t>
      </w:r>
      <w:r w:rsidR="0013238B" w:rsidRPr="00730CFE">
        <w:rPr>
          <w:rFonts w:asciiTheme="minorHAnsi" w:hAnsiTheme="minorHAnsi"/>
          <w:i/>
          <w:sz w:val="20"/>
          <w:szCs w:val="20"/>
        </w:rPr>
        <w:t xml:space="preserve"> </w:t>
      </w:r>
    </w:p>
    <w:p w14:paraId="6E2BF509" w14:textId="48C4BE4F" w:rsidR="0013238B" w:rsidRPr="00D906FA" w:rsidRDefault="00730CFE" w:rsidP="0013238B">
      <w:pPr>
        <w:jc w:val="center"/>
        <w:rPr>
          <w:rFonts w:asciiTheme="minorHAnsi" w:hAnsiTheme="minorHAnsi"/>
          <w:i/>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7" w:history="1">
        <w:r w:rsidRPr="00512657">
          <w:rPr>
            <w:rStyle w:val="Hyperlink"/>
            <w:b/>
            <w:sz w:val="20"/>
            <w:szCs w:val="20"/>
          </w:rPr>
          <w:t>https://pressbooks.bccampus.ca/seihandbook/chapter/supplemental-documents/</w:t>
        </w:r>
      </w:hyperlink>
    </w:p>
    <w:bookmarkEnd w:id="0"/>
    <w:p w14:paraId="2CEDF843" w14:textId="77777777" w:rsidR="0013238B" w:rsidRPr="0013238B" w:rsidRDefault="0013238B" w:rsidP="0013238B">
      <w:pPr>
        <w:rPr>
          <w:rFonts w:asciiTheme="majorHAnsi" w:hAnsiTheme="majorHAnsi" w:cstheme="majorHAnsi"/>
          <w:szCs w:val="22"/>
        </w:rPr>
      </w:pPr>
    </w:p>
    <w:p w14:paraId="12B0F4BB" w14:textId="77777777" w:rsidR="00730CFE" w:rsidRDefault="00730CFE" w:rsidP="00C47E6B"/>
    <w:p w14:paraId="4059E567" w14:textId="7F1639B6" w:rsidR="0013238B" w:rsidRPr="00C47E6B" w:rsidRDefault="0013238B" w:rsidP="00C47E6B">
      <w:r w:rsidRPr="00C47E6B">
        <w:t>This handout lists the types of metrics used to document the i</w:t>
      </w:r>
      <w:r w:rsidR="00E92853">
        <w:t xml:space="preserve">mpact and outcomes in the SEI. </w:t>
      </w:r>
      <w:r w:rsidRPr="00C47E6B">
        <w:t>The specific measures used will necessarily evolve over time for similar projects, as more assessments are d</w:t>
      </w:r>
      <w:r w:rsidR="00E92853">
        <w:t xml:space="preserve">eveloped. </w:t>
      </w:r>
      <w:r w:rsidRPr="00C47E6B">
        <w:t>This list provides the types of outcomes measured and some sample assessments</w:t>
      </w:r>
      <w:bookmarkStart w:id="1" w:name="_GoBack"/>
      <w:bookmarkEnd w:id="1"/>
      <w:r w:rsidRPr="00C47E6B">
        <w:t xml:space="preserve"> to serve as a starting point for other initiatives.</w:t>
      </w:r>
    </w:p>
    <w:p w14:paraId="53C269B2" w14:textId="77777777" w:rsidR="0013238B" w:rsidRPr="0013238B" w:rsidRDefault="0013238B" w:rsidP="002F0E32">
      <w:pPr>
        <w:pStyle w:val="Heading1"/>
        <w:rPr>
          <w:bCs/>
          <w:color w:val="auto"/>
        </w:rPr>
      </w:pPr>
      <w:r w:rsidRPr="0013238B">
        <w:t>Outcomes expected in the SEI</w:t>
      </w:r>
    </w:p>
    <w:p w14:paraId="29946F83" w14:textId="77777777" w:rsidR="003B2DA1" w:rsidRDefault="003B2DA1" w:rsidP="0013238B">
      <w:pPr>
        <w:rPr>
          <w:rFonts w:asciiTheme="majorHAnsi" w:hAnsiTheme="majorHAnsi" w:cstheme="majorHAnsi"/>
          <w:szCs w:val="22"/>
        </w:rPr>
      </w:pPr>
    </w:p>
    <w:p w14:paraId="645DC43A" w14:textId="4C49CE7F" w:rsidR="0013238B" w:rsidRPr="0013238B" w:rsidRDefault="0013238B" w:rsidP="0013238B">
      <w:pPr>
        <w:rPr>
          <w:rFonts w:asciiTheme="majorHAnsi" w:hAnsiTheme="majorHAnsi" w:cstheme="majorHAnsi"/>
          <w:szCs w:val="22"/>
        </w:rPr>
      </w:pPr>
      <w:r w:rsidRPr="0013238B">
        <w:rPr>
          <w:rFonts w:asciiTheme="majorHAnsi" w:hAnsiTheme="majorHAnsi" w:cstheme="majorHAnsi"/>
          <w:szCs w:val="22"/>
        </w:rPr>
        <w:t>The main goal of the SEI was to increase the use of evidence-based teaching practices and ultim</w:t>
      </w:r>
      <w:r w:rsidR="00E92853">
        <w:rPr>
          <w:rFonts w:asciiTheme="majorHAnsi" w:hAnsiTheme="majorHAnsi" w:cstheme="majorHAnsi"/>
          <w:szCs w:val="22"/>
        </w:rPr>
        <w:t>ately improve student learning.</w:t>
      </w:r>
      <w:r w:rsidRPr="0013238B">
        <w:rPr>
          <w:rFonts w:asciiTheme="majorHAnsi" w:hAnsiTheme="majorHAnsi" w:cstheme="majorHAnsi"/>
          <w:szCs w:val="22"/>
        </w:rPr>
        <w:t xml:space="preserve"> Thus, the types of outcomes which were </w:t>
      </w:r>
      <w:r w:rsidR="00C65AFF">
        <w:rPr>
          <w:rFonts w:asciiTheme="majorHAnsi" w:hAnsiTheme="majorHAnsi" w:cstheme="majorHAnsi"/>
          <w:szCs w:val="22"/>
        </w:rPr>
        <w:t>expected</w:t>
      </w:r>
      <w:r w:rsidR="00C65AFF" w:rsidRPr="0013238B">
        <w:rPr>
          <w:rFonts w:asciiTheme="majorHAnsi" w:hAnsiTheme="majorHAnsi" w:cstheme="majorHAnsi"/>
          <w:szCs w:val="22"/>
        </w:rPr>
        <w:t xml:space="preserve"> </w:t>
      </w:r>
      <w:r w:rsidRPr="0013238B">
        <w:rPr>
          <w:rFonts w:asciiTheme="majorHAnsi" w:hAnsiTheme="majorHAnsi" w:cstheme="majorHAnsi"/>
          <w:szCs w:val="22"/>
        </w:rPr>
        <w:t>included:</w:t>
      </w:r>
    </w:p>
    <w:p w14:paraId="7C3DDADB" w14:textId="77777777" w:rsidR="0013238B" w:rsidRPr="00E92853" w:rsidRDefault="0013238B" w:rsidP="00886CC3">
      <w:pPr>
        <w:pStyle w:val="ListParagraph"/>
        <w:numPr>
          <w:ilvl w:val="0"/>
          <w:numId w:val="1"/>
        </w:numPr>
        <w:rPr>
          <w:rFonts w:asciiTheme="majorHAnsi" w:hAnsiTheme="majorHAnsi" w:cstheme="majorHAnsi"/>
          <w:szCs w:val="22"/>
        </w:rPr>
      </w:pPr>
      <w:r w:rsidRPr="00E92853">
        <w:rPr>
          <w:rFonts w:asciiTheme="majorHAnsi" w:hAnsiTheme="majorHAnsi" w:cstheme="majorHAnsi"/>
          <w:szCs w:val="22"/>
        </w:rPr>
        <w:t>Increased number of faculty using evidence-based teaching practices.</w:t>
      </w:r>
    </w:p>
    <w:p w14:paraId="6C01F213" w14:textId="77777777" w:rsidR="0013238B" w:rsidRPr="00E92853" w:rsidRDefault="0013238B" w:rsidP="00886CC3">
      <w:pPr>
        <w:pStyle w:val="ListParagraph"/>
        <w:numPr>
          <w:ilvl w:val="0"/>
          <w:numId w:val="1"/>
        </w:numPr>
        <w:rPr>
          <w:rFonts w:asciiTheme="majorHAnsi" w:hAnsiTheme="majorHAnsi" w:cstheme="majorHAnsi"/>
          <w:szCs w:val="22"/>
        </w:rPr>
      </w:pPr>
      <w:r w:rsidRPr="00E92853">
        <w:rPr>
          <w:rFonts w:asciiTheme="majorHAnsi" w:hAnsiTheme="majorHAnsi" w:cstheme="majorHAnsi"/>
          <w:szCs w:val="22"/>
        </w:rPr>
        <w:t>Increased number of courses using evidence-based teaching practices.</w:t>
      </w:r>
    </w:p>
    <w:p w14:paraId="21B0C01C" w14:textId="77777777" w:rsidR="0013238B" w:rsidRPr="00E92853" w:rsidRDefault="0013238B" w:rsidP="00886CC3">
      <w:pPr>
        <w:pStyle w:val="ListParagraph"/>
        <w:numPr>
          <w:ilvl w:val="0"/>
          <w:numId w:val="1"/>
        </w:numPr>
        <w:rPr>
          <w:rFonts w:asciiTheme="majorHAnsi" w:hAnsiTheme="majorHAnsi" w:cstheme="majorHAnsi"/>
          <w:szCs w:val="22"/>
        </w:rPr>
      </w:pPr>
      <w:r w:rsidRPr="00E92853">
        <w:rPr>
          <w:rFonts w:asciiTheme="majorHAnsi" w:hAnsiTheme="majorHAnsi" w:cstheme="majorHAnsi"/>
          <w:szCs w:val="22"/>
        </w:rPr>
        <w:t>Increased student learning in these courses.</w:t>
      </w:r>
    </w:p>
    <w:p w14:paraId="14C6B9BB" w14:textId="77777777" w:rsidR="0013238B" w:rsidRPr="0013238B" w:rsidRDefault="0013238B" w:rsidP="0013238B">
      <w:pPr>
        <w:rPr>
          <w:rFonts w:asciiTheme="majorHAnsi" w:hAnsiTheme="majorHAnsi" w:cstheme="majorHAnsi"/>
          <w:szCs w:val="22"/>
        </w:rPr>
      </w:pPr>
    </w:p>
    <w:p w14:paraId="26D00052" w14:textId="48DC24F9" w:rsidR="0013238B" w:rsidRPr="00C47E6B" w:rsidRDefault="0013238B" w:rsidP="00C47E6B">
      <w:r w:rsidRPr="00C47E6B">
        <w:t xml:space="preserve">Another goal of the SEI was to test a valid model </w:t>
      </w:r>
      <w:r w:rsidR="00C65AFF">
        <w:t>for</w:t>
      </w:r>
      <w:r w:rsidR="00C65AFF" w:rsidRPr="00C47E6B">
        <w:t xml:space="preserve"> </w:t>
      </w:r>
      <w:r w:rsidRPr="00C47E6B">
        <w:t>scaling</w:t>
      </w:r>
      <w:r w:rsidR="00C65AFF">
        <w:t xml:space="preserve"> </w:t>
      </w:r>
      <w:r w:rsidRPr="00C47E6B">
        <w:t>up educational impro</w:t>
      </w:r>
      <w:r w:rsidR="00E92853">
        <w:t xml:space="preserve">vements at a large university. </w:t>
      </w:r>
      <w:r w:rsidRPr="00C47E6B">
        <w:t>Thus, the project tested some additional outcomes regarding the viability and impact of the SEI as a whole:</w:t>
      </w:r>
    </w:p>
    <w:p w14:paraId="14A904E9" w14:textId="77777777" w:rsidR="0013238B" w:rsidRPr="00E92853" w:rsidRDefault="0013238B" w:rsidP="00886CC3">
      <w:pPr>
        <w:pStyle w:val="ListParagraph"/>
        <w:numPr>
          <w:ilvl w:val="0"/>
          <w:numId w:val="2"/>
        </w:numPr>
        <w:rPr>
          <w:rFonts w:asciiTheme="majorHAnsi" w:hAnsiTheme="majorHAnsi" w:cstheme="majorHAnsi"/>
          <w:szCs w:val="22"/>
        </w:rPr>
      </w:pPr>
      <w:r w:rsidRPr="00E92853">
        <w:rPr>
          <w:rFonts w:asciiTheme="majorHAnsi" w:hAnsiTheme="majorHAnsi" w:cstheme="majorHAnsi"/>
          <w:szCs w:val="22"/>
        </w:rPr>
        <w:t>Sustainability of changes for courses and faculty.</w:t>
      </w:r>
    </w:p>
    <w:p w14:paraId="332E1E2F" w14:textId="77777777" w:rsidR="0013238B" w:rsidRPr="00E92853" w:rsidRDefault="0013238B" w:rsidP="00886CC3">
      <w:pPr>
        <w:pStyle w:val="ListParagraph"/>
        <w:numPr>
          <w:ilvl w:val="0"/>
          <w:numId w:val="2"/>
        </w:numPr>
        <w:rPr>
          <w:rFonts w:asciiTheme="majorHAnsi" w:hAnsiTheme="majorHAnsi" w:cstheme="majorHAnsi"/>
          <w:szCs w:val="22"/>
        </w:rPr>
      </w:pPr>
      <w:r w:rsidRPr="00E92853">
        <w:rPr>
          <w:rFonts w:asciiTheme="majorHAnsi" w:hAnsiTheme="majorHAnsi" w:cstheme="majorHAnsi"/>
          <w:szCs w:val="22"/>
        </w:rPr>
        <w:t>Changes in attitudes and normative teaching behavior among faculty in STEM departments.</w:t>
      </w:r>
    </w:p>
    <w:p w14:paraId="0B48CC1E" w14:textId="4133026D" w:rsidR="0013238B" w:rsidRPr="00E92853" w:rsidRDefault="0013238B" w:rsidP="00886CC3">
      <w:pPr>
        <w:pStyle w:val="ListParagraph"/>
        <w:numPr>
          <w:ilvl w:val="0"/>
          <w:numId w:val="2"/>
        </w:numPr>
        <w:rPr>
          <w:rFonts w:asciiTheme="majorHAnsi" w:hAnsiTheme="majorHAnsi" w:cstheme="majorHAnsi"/>
          <w:szCs w:val="22"/>
        </w:rPr>
      </w:pPr>
      <w:r w:rsidRPr="00E92853">
        <w:rPr>
          <w:rFonts w:asciiTheme="majorHAnsi" w:hAnsiTheme="majorHAnsi" w:cstheme="majorHAnsi"/>
          <w:szCs w:val="22"/>
        </w:rPr>
        <w:t xml:space="preserve">Positive career trajectories for </w:t>
      </w:r>
      <w:r w:rsidR="00886CC3">
        <w:rPr>
          <w:rFonts w:asciiTheme="majorHAnsi" w:hAnsiTheme="majorHAnsi" w:cstheme="majorHAnsi"/>
          <w:szCs w:val="22"/>
        </w:rPr>
        <w:t>Discipline-Based Education Specialists</w:t>
      </w:r>
      <w:r w:rsidRPr="00E92853">
        <w:rPr>
          <w:rFonts w:asciiTheme="majorHAnsi" w:hAnsiTheme="majorHAnsi" w:cstheme="majorHAnsi"/>
          <w:szCs w:val="22"/>
        </w:rPr>
        <w:t xml:space="preserve"> (</w:t>
      </w:r>
      <w:r w:rsidR="00886CC3">
        <w:rPr>
          <w:rFonts w:asciiTheme="majorHAnsi" w:hAnsiTheme="majorHAnsi" w:cstheme="majorHAnsi"/>
          <w:szCs w:val="22"/>
        </w:rPr>
        <w:t>DBES</w:t>
      </w:r>
      <w:r w:rsidRPr="00E92853">
        <w:rPr>
          <w:rFonts w:asciiTheme="majorHAnsi" w:hAnsiTheme="majorHAnsi" w:cstheme="majorHAnsi"/>
          <w:szCs w:val="22"/>
        </w:rPr>
        <w:t>s).</w:t>
      </w:r>
    </w:p>
    <w:p w14:paraId="02CB429D" w14:textId="77777777" w:rsidR="0013238B" w:rsidRPr="0013238B" w:rsidRDefault="0013238B" w:rsidP="002F0E32">
      <w:pPr>
        <w:pStyle w:val="Heading1"/>
        <w:rPr>
          <w:bCs/>
          <w:color w:val="auto"/>
        </w:rPr>
      </w:pPr>
      <w:r w:rsidRPr="0013238B">
        <w:t>Measurements used in the SEI</w:t>
      </w:r>
    </w:p>
    <w:p w14:paraId="4AC73EDA" w14:textId="77777777" w:rsidR="0013238B" w:rsidRPr="0013238B" w:rsidRDefault="0013238B" w:rsidP="002F0E32">
      <w:pPr>
        <w:pStyle w:val="Heading3"/>
        <w:rPr>
          <w:bCs/>
          <w:color w:val="auto"/>
        </w:rPr>
      </w:pPr>
      <w:r w:rsidRPr="0013238B">
        <w:t xml:space="preserve">Course-level indicators </w:t>
      </w:r>
    </w:p>
    <w:p w14:paraId="58C3056A" w14:textId="4083305C" w:rsidR="0013238B" w:rsidRPr="00C47E6B" w:rsidRDefault="0013238B" w:rsidP="00C47E6B">
      <w:r w:rsidRPr="00C47E6B">
        <w:t>Rich information about student learning and experiences</w:t>
      </w:r>
      <w:r w:rsidR="00C65AFF">
        <w:t>,</w:t>
      </w:r>
      <w:r w:rsidRPr="00C47E6B">
        <w:t xml:space="preserve"> as well as faculty practices and engagement</w:t>
      </w:r>
      <w:r w:rsidR="00C65AFF">
        <w:t>,</w:t>
      </w:r>
      <w:r w:rsidRPr="00C47E6B">
        <w:t xml:space="preserve"> was gathered about c</w:t>
      </w:r>
      <w:r w:rsidR="00E92853">
        <w:t xml:space="preserve">ourse transformation projects. </w:t>
      </w:r>
      <w:r w:rsidRPr="00C47E6B">
        <w:t xml:space="preserve">Such indicators </w:t>
      </w:r>
      <w:r w:rsidR="00C65AFF">
        <w:t>were</w:t>
      </w:r>
      <w:r w:rsidR="00C65AFF" w:rsidRPr="00C47E6B">
        <w:t xml:space="preserve"> </w:t>
      </w:r>
      <w:r w:rsidRPr="00C47E6B">
        <w:t>used as part of the iterative course transformation process to inform decisions and practices. They include</w:t>
      </w:r>
      <w:r w:rsidR="00C65AFF">
        <w:t>d</w:t>
      </w:r>
      <w:r w:rsidRPr="00C47E6B">
        <w:t>:</w:t>
      </w:r>
    </w:p>
    <w:p w14:paraId="4CB3AAA5" w14:textId="03E31357" w:rsidR="0013238B" w:rsidRPr="00E92853" w:rsidRDefault="0013238B" w:rsidP="00886CC3">
      <w:pPr>
        <w:pStyle w:val="ListParagraph"/>
        <w:widowControl w:val="0"/>
        <w:numPr>
          <w:ilvl w:val="0"/>
          <w:numId w:val="3"/>
        </w:numPr>
        <w:rPr>
          <w:rFonts w:asciiTheme="majorHAnsi" w:hAnsiTheme="majorHAnsi" w:cstheme="majorHAnsi"/>
          <w:color w:val="000000"/>
          <w:szCs w:val="22"/>
        </w:rPr>
      </w:pPr>
      <w:r w:rsidRPr="00E92853">
        <w:rPr>
          <w:rFonts w:asciiTheme="majorHAnsi" w:hAnsiTheme="majorHAnsi" w:cstheme="majorHAnsi"/>
          <w:b/>
          <w:bCs/>
          <w:szCs w:val="22"/>
        </w:rPr>
        <w:t>Actual student learning:</w:t>
      </w:r>
      <w:r w:rsidRPr="00E92853">
        <w:rPr>
          <w:rFonts w:asciiTheme="majorHAnsi" w:hAnsiTheme="majorHAnsi" w:cstheme="majorHAnsi"/>
          <w:szCs w:val="22"/>
        </w:rPr>
        <w:t xml:space="preserve"> Student performance on validated conceptual assessments or custom-designed assessments (e.g., data from exam questions that are identical or similar across courses or time)</w:t>
      </w:r>
      <w:r w:rsidR="00C65AFF">
        <w:rPr>
          <w:rFonts w:asciiTheme="majorHAnsi" w:hAnsiTheme="majorHAnsi" w:cstheme="majorHAnsi"/>
          <w:szCs w:val="22"/>
        </w:rPr>
        <w:t>.</w:t>
      </w:r>
    </w:p>
    <w:p w14:paraId="23A64E71" w14:textId="3969A2E2" w:rsidR="0013238B" w:rsidRPr="00E92853" w:rsidRDefault="0013238B" w:rsidP="00886CC3">
      <w:pPr>
        <w:pStyle w:val="ListParagraph"/>
        <w:widowControl w:val="0"/>
        <w:numPr>
          <w:ilvl w:val="0"/>
          <w:numId w:val="3"/>
        </w:numPr>
        <w:rPr>
          <w:rFonts w:asciiTheme="majorHAnsi" w:hAnsiTheme="majorHAnsi" w:cstheme="majorHAnsi"/>
          <w:szCs w:val="22"/>
        </w:rPr>
      </w:pPr>
      <w:r w:rsidRPr="00E92853">
        <w:rPr>
          <w:rFonts w:asciiTheme="majorHAnsi" w:hAnsiTheme="majorHAnsi" w:cstheme="majorHAnsi"/>
          <w:b/>
          <w:bCs/>
          <w:szCs w:val="22"/>
        </w:rPr>
        <w:t xml:space="preserve">Perceived student learning: </w:t>
      </w:r>
      <w:r w:rsidRPr="00E92853">
        <w:rPr>
          <w:rFonts w:asciiTheme="majorHAnsi" w:hAnsiTheme="majorHAnsi" w:cstheme="majorHAnsi"/>
          <w:szCs w:val="22"/>
        </w:rPr>
        <w:t>Student self-assessment of learning and the extent to which they connect/value the chosen instructional practices for their learning, collected via surveys, focus groups</w:t>
      </w:r>
      <w:r w:rsidR="00C65AFF">
        <w:rPr>
          <w:rFonts w:asciiTheme="majorHAnsi" w:hAnsiTheme="majorHAnsi" w:cstheme="majorHAnsi"/>
          <w:szCs w:val="22"/>
        </w:rPr>
        <w:t>,</w:t>
      </w:r>
      <w:r w:rsidRPr="00E92853">
        <w:rPr>
          <w:rFonts w:asciiTheme="majorHAnsi" w:hAnsiTheme="majorHAnsi" w:cstheme="majorHAnsi"/>
          <w:szCs w:val="22"/>
        </w:rPr>
        <w:t xml:space="preserve"> or </w:t>
      </w:r>
      <w:r w:rsidR="00C65AFF">
        <w:rPr>
          <w:rFonts w:asciiTheme="majorHAnsi" w:hAnsiTheme="majorHAnsi" w:cstheme="majorHAnsi"/>
          <w:szCs w:val="22"/>
        </w:rPr>
        <w:t xml:space="preserve">student </w:t>
      </w:r>
      <w:r w:rsidRPr="00E92853">
        <w:rPr>
          <w:rFonts w:asciiTheme="majorHAnsi" w:hAnsiTheme="majorHAnsi" w:cstheme="majorHAnsi"/>
          <w:szCs w:val="22"/>
        </w:rPr>
        <w:t>interviews.</w:t>
      </w:r>
    </w:p>
    <w:p w14:paraId="3E1BF801" w14:textId="53A25299" w:rsidR="0013238B" w:rsidRPr="00E92853" w:rsidRDefault="0013238B" w:rsidP="00886CC3">
      <w:pPr>
        <w:pStyle w:val="ListParagraph"/>
        <w:widowControl w:val="0"/>
        <w:numPr>
          <w:ilvl w:val="0"/>
          <w:numId w:val="3"/>
        </w:numPr>
        <w:rPr>
          <w:rFonts w:asciiTheme="majorHAnsi" w:hAnsiTheme="majorHAnsi" w:cstheme="majorHAnsi"/>
          <w:szCs w:val="22"/>
        </w:rPr>
      </w:pPr>
      <w:r w:rsidRPr="00E92853">
        <w:rPr>
          <w:rFonts w:asciiTheme="majorHAnsi" w:hAnsiTheme="majorHAnsi" w:cstheme="majorHAnsi"/>
          <w:b/>
          <w:bCs/>
          <w:szCs w:val="22"/>
        </w:rPr>
        <w:t xml:space="preserve">Student feedback: </w:t>
      </w:r>
      <w:r w:rsidRPr="00E92853">
        <w:rPr>
          <w:rFonts w:asciiTheme="majorHAnsi" w:hAnsiTheme="majorHAnsi" w:cstheme="majorHAnsi"/>
          <w:szCs w:val="22"/>
        </w:rPr>
        <w:t>Surveys, focus groups, interviews and other measures beyond the standard stude</w:t>
      </w:r>
      <w:r w:rsidR="00E92853" w:rsidRPr="00E92853">
        <w:rPr>
          <w:rFonts w:asciiTheme="majorHAnsi" w:hAnsiTheme="majorHAnsi" w:cstheme="majorHAnsi"/>
          <w:szCs w:val="22"/>
        </w:rPr>
        <w:t xml:space="preserve">nt course evaluation measures. </w:t>
      </w:r>
      <w:r w:rsidRPr="00E92853">
        <w:rPr>
          <w:rFonts w:asciiTheme="majorHAnsi" w:hAnsiTheme="majorHAnsi" w:cstheme="majorHAnsi"/>
          <w:szCs w:val="22"/>
        </w:rPr>
        <w:t>This can offer valuable feedback on how well course elements have been implemented.</w:t>
      </w:r>
    </w:p>
    <w:p w14:paraId="5206059F" w14:textId="7CBEAA24" w:rsidR="0013238B" w:rsidRPr="00E92853" w:rsidRDefault="0013238B" w:rsidP="00886CC3">
      <w:pPr>
        <w:pStyle w:val="ListParagraph"/>
        <w:widowControl w:val="0"/>
        <w:numPr>
          <w:ilvl w:val="0"/>
          <w:numId w:val="3"/>
        </w:numPr>
        <w:rPr>
          <w:rFonts w:asciiTheme="majorHAnsi" w:hAnsiTheme="majorHAnsi" w:cstheme="majorHAnsi"/>
          <w:szCs w:val="22"/>
        </w:rPr>
      </w:pPr>
      <w:r w:rsidRPr="00E92853">
        <w:rPr>
          <w:rFonts w:asciiTheme="majorHAnsi" w:hAnsiTheme="majorHAnsi" w:cstheme="majorHAnsi"/>
          <w:b/>
          <w:bCs/>
          <w:szCs w:val="22"/>
        </w:rPr>
        <w:t xml:space="preserve">Teaching practices: </w:t>
      </w:r>
      <w:r w:rsidRPr="00E92853">
        <w:rPr>
          <w:rFonts w:asciiTheme="majorHAnsi" w:hAnsiTheme="majorHAnsi" w:cstheme="majorHAnsi"/>
          <w:szCs w:val="22"/>
        </w:rPr>
        <w:t>Structured cla</w:t>
      </w:r>
      <w:r w:rsidR="00886CC3">
        <w:rPr>
          <w:rFonts w:asciiTheme="majorHAnsi" w:hAnsiTheme="majorHAnsi" w:cstheme="majorHAnsi"/>
          <w:szCs w:val="22"/>
        </w:rPr>
        <w:t xml:space="preserve">ssroom observations (such as Classroom Observation Protocol for Undergraduate STEM; COPUS </w:t>
      </w:r>
      <w:r w:rsidRPr="00E92853">
        <w:rPr>
          <w:rFonts w:asciiTheme="majorHAnsi" w:hAnsiTheme="majorHAnsi" w:cstheme="majorHAnsi"/>
          <w:szCs w:val="22"/>
        </w:rPr>
        <w:t xml:space="preserve">or </w:t>
      </w:r>
      <w:r w:rsidR="00886CC3">
        <w:rPr>
          <w:rFonts w:asciiTheme="majorHAnsi" w:hAnsiTheme="majorHAnsi" w:cstheme="majorHAnsi"/>
          <w:szCs w:val="22"/>
        </w:rPr>
        <w:t xml:space="preserve">the Teaching Dimensions Observation Protocol; </w:t>
      </w:r>
      <w:r w:rsidRPr="00E92853">
        <w:rPr>
          <w:rFonts w:asciiTheme="majorHAnsi" w:hAnsiTheme="majorHAnsi" w:cstheme="majorHAnsi"/>
          <w:szCs w:val="22"/>
        </w:rPr>
        <w:t>TDOP), faculty surveys of teaching practices (such as the Teaching Practices Inventory).</w:t>
      </w:r>
    </w:p>
    <w:p w14:paraId="4C1274A3" w14:textId="2D4A875F" w:rsidR="0013238B" w:rsidRPr="00E92853" w:rsidRDefault="0013238B" w:rsidP="00886CC3">
      <w:pPr>
        <w:pStyle w:val="ListParagraph"/>
        <w:widowControl w:val="0"/>
        <w:numPr>
          <w:ilvl w:val="0"/>
          <w:numId w:val="3"/>
        </w:numPr>
        <w:rPr>
          <w:rFonts w:asciiTheme="majorHAnsi" w:hAnsiTheme="majorHAnsi" w:cstheme="majorHAnsi"/>
          <w:szCs w:val="22"/>
        </w:rPr>
      </w:pPr>
      <w:r w:rsidRPr="00E92853">
        <w:rPr>
          <w:rFonts w:asciiTheme="majorHAnsi" w:hAnsiTheme="majorHAnsi" w:cstheme="majorHAnsi"/>
          <w:b/>
          <w:bCs/>
          <w:szCs w:val="22"/>
        </w:rPr>
        <w:t>Course metrics:</w:t>
      </w:r>
      <w:r w:rsidR="00E92853" w:rsidRPr="00E92853">
        <w:rPr>
          <w:rFonts w:asciiTheme="majorHAnsi" w:hAnsiTheme="majorHAnsi" w:cstheme="majorHAnsi"/>
          <w:szCs w:val="22"/>
        </w:rPr>
        <w:t xml:space="preserve"> </w:t>
      </w:r>
      <w:r w:rsidRPr="00E92853">
        <w:rPr>
          <w:rFonts w:asciiTheme="majorHAnsi" w:hAnsiTheme="majorHAnsi" w:cstheme="majorHAnsi"/>
          <w:szCs w:val="22"/>
        </w:rPr>
        <w:t xml:space="preserve">Structured spreadsheet to gather information about each transformed course, such as when transformation began, who was on the project team, the role of the </w:t>
      </w:r>
      <w:r w:rsidR="00886CC3">
        <w:rPr>
          <w:rFonts w:asciiTheme="majorHAnsi" w:hAnsiTheme="majorHAnsi" w:cstheme="majorHAnsi"/>
          <w:szCs w:val="22"/>
        </w:rPr>
        <w:t>DBES</w:t>
      </w:r>
      <w:r w:rsidRPr="00E92853">
        <w:rPr>
          <w:rFonts w:asciiTheme="majorHAnsi" w:hAnsiTheme="majorHAnsi" w:cstheme="majorHAnsi"/>
          <w:szCs w:val="22"/>
        </w:rPr>
        <w:t>, use of TAs, and a list of materia</w:t>
      </w:r>
      <w:r w:rsidR="00E92853" w:rsidRPr="00E92853">
        <w:rPr>
          <w:rFonts w:asciiTheme="majorHAnsi" w:hAnsiTheme="majorHAnsi" w:cstheme="majorHAnsi"/>
          <w:szCs w:val="22"/>
        </w:rPr>
        <w:t xml:space="preserve">ls developed/methods deployed. </w:t>
      </w:r>
      <w:r w:rsidRPr="00E92853">
        <w:rPr>
          <w:rFonts w:asciiTheme="majorHAnsi" w:hAnsiTheme="majorHAnsi" w:cstheme="majorHAnsi"/>
          <w:szCs w:val="22"/>
        </w:rPr>
        <w:t xml:space="preserve">Here is a </w:t>
      </w:r>
      <w:hyperlink r:id="rId8" w:history="1">
        <w:r w:rsidRPr="00E92853">
          <w:rPr>
            <w:rStyle w:val="Hyperlink"/>
            <w:rFonts w:asciiTheme="majorHAnsi" w:hAnsiTheme="majorHAnsi" w:cstheme="majorHAnsi"/>
            <w:szCs w:val="22"/>
          </w:rPr>
          <w:t>simple table</w:t>
        </w:r>
      </w:hyperlink>
      <w:r w:rsidRPr="00E92853">
        <w:rPr>
          <w:rFonts w:asciiTheme="majorHAnsi" w:hAnsiTheme="majorHAnsi" w:cstheme="majorHAnsi"/>
          <w:szCs w:val="22"/>
        </w:rPr>
        <w:t xml:space="preserve"> from the CWSEI, but often more complex Excel versions were developed. </w:t>
      </w:r>
    </w:p>
    <w:p w14:paraId="7B115CD0" w14:textId="68BD82B6" w:rsidR="0013238B" w:rsidRPr="00E92853" w:rsidRDefault="0013238B" w:rsidP="00886CC3">
      <w:pPr>
        <w:pStyle w:val="ListParagraph"/>
        <w:widowControl w:val="0"/>
        <w:numPr>
          <w:ilvl w:val="0"/>
          <w:numId w:val="3"/>
        </w:numPr>
        <w:rPr>
          <w:rFonts w:asciiTheme="majorHAnsi" w:hAnsiTheme="majorHAnsi" w:cstheme="majorHAnsi"/>
          <w:b/>
          <w:bCs/>
          <w:szCs w:val="22"/>
        </w:rPr>
      </w:pPr>
      <w:r w:rsidRPr="00E92853">
        <w:rPr>
          <w:rFonts w:asciiTheme="majorHAnsi" w:hAnsiTheme="majorHAnsi" w:cstheme="majorHAnsi"/>
          <w:b/>
          <w:bCs/>
          <w:szCs w:val="22"/>
        </w:rPr>
        <w:t>Required resources:</w:t>
      </w:r>
      <w:r w:rsidR="00E92853" w:rsidRPr="00E92853">
        <w:rPr>
          <w:rFonts w:asciiTheme="majorHAnsi" w:hAnsiTheme="majorHAnsi" w:cstheme="majorHAnsi"/>
          <w:b/>
          <w:bCs/>
          <w:szCs w:val="22"/>
        </w:rPr>
        <w:t xml:space="preserve"> </w:t>
      </w:r>
      <w:r w:rsidRPr="00E92853">
        <w:rPr>
          <w:rFonts w:asciiTheme="majorHAnsi" w:hAnsiTheme="majorHAnsi" w:cstheme="majorHAnsi"/>
          <w:bCs/>
          <w:szCs w:val="22"/>
        </w:rPr>
        <w:t>Track student workload (to ensure students aren’t overloaded in the new course) and other required resources</w:t>
      </w:r>
      <w:r w:rsidR="00E92853" w:rsidRPr="00E92853">
        <w:rPr>
          <w:rFonts w:asciiTheme="majorHAnsi" w:hAnsiTheme="majorHAnsi" w:cstheme="majorHAnsi"/>
          <w:bCs/>
          <w:szCs w:val="22"/>
        </w:rPr>
        <w:t xml:space="preserve"> (such as TA time and duties).</w:t>
      </w:r>
    </w:p>
    <w:p w14:paraId="6422A254" w14:textId="77777777" w:rsidR="0013238B" w:rsidRPr="0013238B" w:rsidRDefault="0013238B" w:rsidP="002F0E32">
      <w:pPr>
        <w:pStyle w:val="Heading3"/>
      </w:pPr>
      <w:r w:rsidRPr="0013238B">
        <w:t>Faculty-level indicators</w:t>
      </w:r>
    </w:p>
    <w:p w14:paraId="1FBA59A4" w14:textId="597C6CB4" w:rsidR="0013238B" w:rsidRPr="00E92853" w:rsidRDefault="0013238B" w:rsidP="00886CC3">
      <w:pPr>
        <w:pStyle w:val="ListParagraph"/>
        <w:widowControl w:val="0"/>
        <w:numPr>
          <w:ilvl w:val="0"/>
          <w:numId w:val="4"/>
        </w:numPr>
        <w:rPr>
          <w:rFonts w:asciiTheme="majorHAnsi" w:hAnsiTheme="majorHAnsi" w:cstheme="majorHAnsi"/>
          <w:color w:val="000000"/>
          <w:szCs w:val="22"/>
        </w:rPr>
      </w:pPr>
      <w:r w:rsidRPr="00E92853">
        <w:rPr>
          <w:rFonts w:asciiTheme="majorHAnsi" w:hAnsiTheme="majorHAnsi" w:cstheme="majorHAnsi"/>
          <w:b/>
          <w:bCs/>
          <w:szCs w:val="22"/>
        </w:rPr>
        <w:t xml:space="preserve">Teaching practices: </w:t>
      </w:r>
      <w:r w:rsidRPr="00E92853">
        <w:rPr>
          <w:rFonts w:asciiTheme="majorHAnsi" w:hAnsiTheme="majorHAnsi" w:cstheme="majorHAnsi"/>
          <w:szCs w:val="22"/>
        </w:rPr>
        <w:t xml:space="preserve">Structured classroom observations (such as COPUS or TDOP), </w:t>
      </w:r>
      <w:r w:rsidR="00C65AFF">
        <w:rPr>
          <w:rFonts w:asciiTheme="majorHAnsi" w:hAnsiTheme="majorHAnsi" w:cstheme="majorHAnsi"/>
          <w:szCs w:val="22"/>
        </w:rPr>
        <w:t xml:space="preserve">and </w:t>
      </w:r>
      <w:r w:rsidRPr="00E92853">
        <w:rPr>
          <w:rFonts w:asciiTheme="majorHAnsi" w:hAnsiTheme="majorHAnsi" w:cstheme="majorHAnsi"/>
          <w:szCs w:val="22"/>
        </w:rPr>
        <w:t xml:space="preserve">faculty surveys of teaching </w:t>
      </w:r>
      <w:r w:rsidRPr="00E92853">
        <w:rPr>
          <w:rFonts w:asciiTheme="majorHAnsi" w:hAnsiTheme="majorHAnsi" w:cstheme="majorHAnsi"/>
          <w:szCs w:val="22"/>
        </w:rPr>
        <w:lastRenderedPageBreak/>
        <w:t>practices (such as the Teaching Practices Inventory).</w:t>
      </w:r>
    </w:p>
    <w:p w14:paraId="4B0DBC59" w14:textId="77A5F6E4" w:rsidR="0013238B" w:rsidRPr="00E92853" w:rsidRDefault="0013238B" w:rsidP="00886CC3">
      <w:pPr>
        <w:pStyle w:val="ListParagraph"/>
        <w:widowControl w:val="0"/>
        <w:numPr>
          <w:ilvl w:val="0"/>
          <w:numId w:val="4"/>
        </w:numPr>
        <w:rPr>
          <w:rFonts w:asciiTheme="majorHAnsi" w:hAnsiTheme="majorHAnsi" w:cstheme="majorHAnsi"/>
          <w:szCs w:val="22"/>
        </w:rPr>
      </w:pPr>
      <w:r w:rsidRPr="00E92853">
        <w:rPr>
          <w:rFonts w:asciiTheme="majorHAnsi" w:hAnsiTheme="majorHAnsi" w:cstheme="majorHAnsi"/>
          <w:b/>
          <w:bCs/>
          <w:szCs w:val="22"/>
        </w:rPr>
        <w:t>Interviews:</w:t>
      </w:r>
      <w:r w:rsidR="00E92853" w:rsidRPr="00E92853">
        <w:rPr>
          <w:rFonts w:asciiTheme="majorHAnsi" w:hAnsiTheme="majorHAnsi" w:cstheme="majorHAnsi"/>
          <w:szCs w:val="22"/>
        </w:rPr>
        <w:t xml:space="preserve"> </w:t>
      </w:r>
      <w:r w:rsidRPr="00E92853">
        <w:rPr>
          <w:rFonts w:asciiTheme="majorHAnsi" w:hAnsiTheme="majorHAnsi" w:cstheme="majorHAnsi"/>
          <w:szCs w:val="22"/>
        </w:rPr>
        <w:t xml:space="preserve">Faculty interviews to gather feedback about the course transformation (e.g., feedback on learning goals), their use of SEI-developed materials, and their experience in the initiative. </w:t>
      </w:r>
    </w:p>
    <w:p w14:paraId="68FF7F04" w14:textId="54CE89AE" w:rsidR="0013238B" w:rsidRPr="00E92853" w:rsidRDefault="0013238B" w:rsidP="00886CC3">
      <w:pPr>
        <w:pStyle w:val="ListParagraph"/>
        <w:widowControl w:val="0"/>
        <w:numPr>
          <w:ilvl w:val="0"/>
          <w:numId w:val="4"/>
        </w:numPr>
        <w:rPr>
          <w:rFonts w:asciiTheme="majorHAnsi" w:hAnsiTheme="majorHAnsi" w:cstheme="majorHAnsi"/>
          <w:szCs w:val="22"/>
        </w:rPr>
      </w:pPr>
      <w:r w:rsidRPr="00E92853">
        <w:rPr>
          <w:rFonts w:asciiTheme="majorHAnsi" w:hAnsiTheme="majorHAnsi" w:cstheme="majorHAnsi"/>
          <w:b/>
          <w:bCs/>
          <w:szCs w:val="22"/>
        </w:rPr>
        <w:t>Faculty metrics:</w:t>
      </w:r>
      <w:r w:rsidR="00E92853" w:rsidRPr="00E92853">
        <w:rPr>
          <w:rFonts w:asciiTheme="majorHAnsi" w:hAnsiTheme="majorHAnsi" w:cstheme="majorHAnsi"/>
          <w:szCs w:val="22"/>
        </w:rPr>
        <w:t xml:space="preserve"> </w:t>
      </w:r>
      <w:r w:rsidRPr="00E92853">
        <w:rPr>
          <w:rFonts w:asciiTheme="majorHAnsi" w:hAnsiTheme="majorHAnsi" w:cstheme="majorHAnsi"/>
          <w:szCs w:val="22"/>
        </w:rPr>
        <w:t xml:space="preserve">Structured spreadsheet to gather information about each involved faculty, such as their interaction with the </w:t>
      </w:r>
      <w:r w:rsidR="00886CC3">
        <w:rPr>
          <w:rFonts w:asciiTheme="majorHAnsi" w:hAnsiTheme="majorHAnsi" w:cstheme="majorHAnsi"/>
          <w:szCs w:val="22"/>
        </w:rPr>
        <w:t>DBES</w:t>
      </w:r>
      <w:r w:rsidRPr="00E92853">
        <w:rPr>
          <w:rFonts w:asciiTheme="majorHAnsi" w:hAnsiTheme="majorHAnsi" w:cstheme="majorHAnsi"/>
          <w:szCs w:val="22"/>
        </w:rPr>
        <w:t>, their involvement in the course transformation, and their use of new teaching techniques.</w:t>
      </w:r>
    </w:p>
    <w:p w14:paraId="2CB8B0BE" w14:textId="249A8D5F" w:rsidR="0013238B" w:rsidRPr="0013238B" w:rsidRDefault="0013238B" w:rsidP="002F0E32">
      <w:pPr>
        <w:pStyle w:val="Heading3"/>
        <w:rPr>
          <w:bCs/>
          <w:color w:val="auto"/>
        </w:rPr>
      </w:pPr>
      <w:r w:rsidRPr="0013238B">
        <w:t xml:space="preserve">Department-level and </w:t>
      </w:r>
      <w:r w:rsidR="00C65AFF">
        <w:t>i</w:t>
      </w:r>
      <w:r w:rsidR="00C65AFF" w:rsidRPr="0013238B">
        <w:t>nitiative</w:t>
      </w:r>
      <w:r w:rsidRPr="0013238B">
        <w:t>-level indicators</w:t>
      </w:r>
    </w:p>
    <w:p w14:paraId="44613F44" w14:textId="7C8794C6" w:rsidR="0013238B" w:rsidRPr="00C47E6B" w:rsidRDefault="0013238B" w:rsidP="00C47E6B">
      <w:r w:rsidRPr="00C47E6B">
        <w:t>In order to compare impacts across departments and between institutions (UBC and CU Boulder) in terms of practices, impact, and use of funds, we</w:t>
      </w:r>
      <w:r w:rsidR="00E92853">
        <w:t xml:space="preserve"> used several common measures. </w:t>
      </w:r>
      <w:r w:rsidRPr="00C47E6B">
        <w:t>These measures provide useful guidance in the creation of scalable, institutionally-supported models of educational change.</w:t>
      </w:r>
    </w:p>
    <w:p w14:paraId="61C4F02A" w14:textId="1BAA40F1" w:rsidR="0013238B" w:rsidRPr="00E92853" w:rsidRDefault="0013238B" w:rsidP="00886CC3">
      <w:pPr>
        <w:pStyle w:val="ListParagraph"/>
        <w:widowControl w:val="0"/>
        <w:numPr>
          <w:ilvl w:val="0"/>
          <w:numId w:val="5"/>
        </w:numPr>
        <w:rPr>
          <w:rFonts w:asciiTheme="majorHAnsi" w:hAnsiTheme="majorHAnsi" w:cstheme="majorHAnsi"/>
          <w:color w:val="000000"/>
          <w:szCs w:val="22"/>
        </w:rPr>
      </w:pPr>
      <w:r w:rsidRPr="00E92853">
        <w:rPr>
          <w:rFonts w:asciiTheme="majorHAnsi" w:hAnsiTheme="majorHAnsi" w:cstheme="majorHAnsi"/>
          <w:b/>
          <w:bCs/>
          <w:szCs w:val="22"/>
        </w:rPr>
        <w:t>Collection of impact metrics</w:t>
      </w:r>
      <w:r w:rsidRPr="00E92853">
        <w:rPr>
          <w:rFonts w:asciiTheme="majorHAnsi" w:hAnsiTheme="majorHAnsi" w:cstheme="majorHAnsi"/>
          <w:szCs w:val="22"/>
        </w:rPr>
        <w:t>:</w:t>
      </w:r>
      <w:r w:rsidR="00E92853" w:rsidRPr="00E92853">
        <w:rPr>
          <w:rFonts w:asciiTheme="majorHAnsi" w:hAnsiTheme="majorHAnsi" w:cstheme="majorHAnsi"/>
          <w:b/>
          <w:szCs w:val="22"/>
        </w:rPr>
        <w:t xml:space="preserve"> </w:t>
      </w:r>
      <w:r w:rsidRPr="00E92853">
        <w:rPr>
          <w:rFonts w:asciiTheme="majorHAnsi" w:hAnsiTheme="majorHAnsi" w:cstheme="majorHAnsi"/>
          <w:szCs w:val="22"/>
        </w:rPr>
        <w:t xml:space="preserve">The structured spreadsheets </w:t>
      </w:r>
      <w:r w:rsidR="00C65AFF">
        <w:rPr>
          <w:rFonts w:asciiTheme="majorHAnsi" w:hAnsiTheme="majorHAnsi" w:cstheme="majorHAnsi"/>
          <w:szCs w:val="22"/>
        </w:rPr>
        <w:t>for</w:t>
      </w:r>
      <w:r w:rsidRPr="00E92853">
        <w:rPr>
          <w:rFonts w:asciiTheme="majorHAnsi" w:hAnsiTheme="majorHAnsi" w:cstheme="majorHAnsi"/>
          <w:szCs w:val="22"/>
        </w:rPr>
        <w:t xml:space="preserve"> course and faculty metrics allowed cross-initiative metrics such as number of projects, number of faculty involved in course transformation, number of faculty involved in educational scholarship and research, number of courses transformed, student enrollment in those courses, and the level of research-based teaching pr</w:t>
      </w:r>
      <w:r w:rsidR="00E92853" w:rsidRPr="00E92853">
        <w:rPr>
          <w:rFonts w:asciiTheme="majorHAnsi" w:hAnsiTheme="majorHAnsi" w:cstheme="majorHAnsi"/>
          <w:szCs w:val="22"/>
        </w:rPr>
        <w:t xml:space="preserve">actices used in those courses. </w:t>
      </w:r>
      <w:r w:rsidRPr="00E92853">
        <w:rPr>
          <w:rFonts w:asciiTheme="majorHAnsi" w:hAnsiTheme="majorHAnsi" w:cstheme="majorHAnsi"/>
          <w:szCs w:val="22"/>
        </w:rPr>
        <w:t>Repeated gathering of this information (on an approximately annual basis) allowed for an investigation into sustainability of changes.</w:t>
      </w:r>
    </w:p>
    <w:p w14:paraId="5B3E5AA4" w14:textId="7C6EEEB1" w:rsidR="0013238B" w:rsidRPr="00E92853" w:rsidRDefault="0013238B" w:rsidP="00886CC3">
      <w:pPr>
        <w:pStyle w:val="ListParagraph"/>
        <w:widowControl w:val="0"/>
        <w:numPr>
          <w:ilvl w:val="0"/>
          <w:numId w:val="5"/>
        </w:numPr>
        <w:rPr>
          <w:rFonts w:asciiTheme="majorHAnsi" w:hAnsiTheme="majorHAnsi" w:cstheme="majorHAnsi"/>
          <w:szCs w:val="22"/>
        </w:rPr>
      </w:pPr>
      <w:r w:rsidRPr="00E92853">
        <w:rPr>
          <w:rFonts w:asciiTheme="majorHAnsi" w:hAnsiTheme="majorHAnsi" w:cstheme="majorHAnsi"/>
          <w:b/>
          <w:bCs/>
          <w:szCs w:val="22"/>
        </w:rPr>
        <w:t>Teaching practices across departments</w:t>
      </w:r>
      <w:r w:rsidR="00E92853" w:rsidRPr="00E92853">
        <w:rPr>
          <w:rFonts w:asciiTheme="majorHAnsi" w:hAnsiTheme="majorHAnsi" w:cstheme="majorHAnsi"/>
          <w:szCs w:val="22"/>
        </w:rPr>
        <w:t xml:space="preserve">: </w:t>
      </w:r>
      <w:r w:rsidRPr="00E92853">
        <w:rPr>
          <w:rFonts w:asciiTheme="majorHAnsi" w:hAnsiTheme="majorHAnsi" w:cstheme="majorHAnsi"/>
          <w:szCs w:val="22"/>
        </w:rPr>
        <w:t>The use of structured observation protocols and faculty surveys on their use of various teaching methods enabled the SEI to see shifts in practice within and across departments.</w:t>
      </w:r>
    </w:p>
    <w:p w14:paraId="02282830" w14:textId="7ADC4D4C" w:rsidR="0013238B" w:rsidRPr="00E92853" w:rsidRDefault="00E92853" w:rsidP="00886CC3">
      <w:pPr>
        <w:pStyle w:val="ListParagraph"/>
        <w:widowControl w:val="0"/>
        <w:numPr>
          <w:ilvl w:val="0"/>
          <w:numId w:val="5"/>
        </w:numPr>
        <w:rPr>
          <w:rFonts w:asciiTheme="majorHAnsi" w:hAnsiTheme="majorHAnsi" w:cstheme="majorHAnsi"/>
          <w:szCs w:val="22"/>
        </w:rPr>
      </w:pPr>
      <w:r w:rsidRPr="00E92853">
        <w:rPr>
          <w:rFonts w:asciiTheme="majorHAnsi" w:hAnsiTheme="majorHAnsi" w:cstheme="majorHAnsi"/>
          <w:b/>
          <w:bCs/>
          <w:szCs w:val="22"/>
        </w:rPr>
        <w:t xml:space="preserve">Case studies: </w:t>
      </w:r>
      <w:r w:rsidR="00B6426C">
        <w:rPr>
          <w:rFonts w:asciiTheme="majorHAnsi" w:hAnsiTheme="majorHAnsi" w:cstheme="majorHAnsi"/>
          <w:szCs w:val="22"/>
        </w:rPr>
        <w:t>A</w:t>
      </w:r>
      <w:r w:rsidR="00B6426C" w:rsidRPr="00E92853">
        <w:rPr>
          <w:rFonts w:asciiTheme="majorHAnsi" w:hAnsiTheme="majorHAnsi" w:cstheme="majorHAnsi"/>
          <w:szCs w:val="22"/>
        </w:rPr>
        <w:t xml:space="preserve"> </w:t>
      </w:r>
      <w:r w:rsidR="0013238B" w:rsidRPr="00E92853">
        <w:rPr>
          <w:rFonts w:asciiTheme="majorHAnsi" w:hAnsiTheme="majorHAnsi" w:cstheme="majorHAnsi"/>
          <w:szCs w:val="22"/>
        </w:rPr>
        <w:t>comprehensive case study of the Earth, Ocean and Atmospheric Sciences Department at UBC was conducted, allowing insight into the process and features of a highly-functioning SEI</w:t>
      </w:r>
      <w:r w:rsidR="00B6426C">
        <w:rPr>
          <w:rFonts w:asciiTheme="majorHAnsi" w:hAnsiTheme="majorHAnsi" w:cstheme="majorHAnsi"/>
          <w:szCs w:val="22"/>
        </w:rPr>
        <w:t>. This case study provides a</w:t>
      </w:r>
      <w:r w:rsidR="00B6426C" w:rsidRPr="00E92853">
        <w:rPr>
          <w:rFonts w:asciiTheme="majorHAnsi" w:hAnsiTheme="majorHAnsi" w:cstheme="majorHAnsi"/>
          <w:szCs w:val="22"/>
        </w:rPr>
        <w:t xml:space="preserve"> qualitative description of the trajectory of a department within the SEI</w:t>
      </w:r>
      <w:r w:rsidR="00B6426C">
        <w:rPr>
          <w:rFonts w:asciiTheme="majorHAnsi" w:hAnsiTheme="majorHAnsi" w:cstheme="majorHAnsi"/>
          <w:szCs w:val="22"/>
        </w:rPr>
        <w:t>. See:</w:t>
      </w:r>
      <w:r w:rsidR="0013238B" w:rsidRPr="00E92853">
        <w:rPr>
          <w:rFonts w:asciiTheme="majorHAnsi" w:hAnsiTheme="majorHAnsi" w:cstheme="majorHAnsi"/>
          <w:szCs w:val="22"/>
        </w:rPr>
        <w:t xml:space="preserve"> Huber, M., Hutchings P., </w:t>
      </w:r>
      <w:r w:rsidR="0013238B" w:rsidRPr="00E92853">
        <w:rPr>
          <w:rFonts w:asciiTheme="majorHAnsi" w:hAnsiTheme="majorHAnsi" w:cstheme="majorHAnsi"/>
          <w:i/>
          <w:szCs w:val="22"/>
        </w:rPr>
        <w:t>BVA Case Study #2, RAC 1: The Carl Wieman Science Education Initiative in Earth, Ocean and Atmospheric Sciences, University of British Columbia</w:t>
      </w:r>
      <w:r w:rsidR="0013238B" w:rsidRPr="00E92853">
        <w:rPr>
          <w:rFonts w:asciiTheme="majorHAnsi" w:hAnsiTheme="majorHAnsi" w:cstheme="majorHAnsi"/>
          <w:szCs w:val="22"/>
        </w:rPr>
        <w:t>, Report, Fall 2014.</w:t>
      </w:r>
    </w:p>
    <w:p w14:paraId="599A6E69" w14:textId="62CDB930" w:rsidR="0013238B" w:rsidRPr="00E92853" w:rsidRDefault="0013238B" w:rsidP="00886CC3">
      <w:pPr>
        <w:pStyle w:val="ListParagraph"/>
        <w:widowControl w:val="0"/>
        <w:numPr>
          <w:ilvl w:val="0"/>
          <w:numId w:val="5"/>
        </w:numPr>
        <w:rPr>
          <w:rFonts w:asciiTheme="majorHAnsi" w:hAnsiTheme="majorHAnsi" w:cstheme="majorHAnsi"/>
          <w:szCs w:val="22"/>
        </w:rPr>
      </w:pPr>
      <w:r w:rsidRPr="00E92853">
        <w:rPr>
          <w:rFonts w:asciiTheme="majorHAnsi" w:hAnsiTheme="majorHAnsi" w:cstheme="majorHAnsi"/>
          <w:b/>
          <w:bCs/>
          <w:szCs w:val="22"/>
        </w:rPr>
        <w:t>Contributions to scholarly work:</w:t>
      </w:r>
      <w:r w:rsidR="00E92853" w:rsidRPr="00E92853">
        <w:rPr>
          <w:rFonts w:asciiTheme="majorHAnsi" w:hAnsiTheme="majorHAnsi" w:cstheme="majorHAnsi"/>
          <w:szCs w:val="22"/>
        </w:rPr>
        <w:t xml:space="preserve"> </w:t>
      </w:r>
      <w:r w:rsidRPr="00E92853">
        <w:rPr>
          <w:rFonts w:asciiTheme="majorHAnsi" w:hAnsiTheme="majorHAnsi" w:cstheme="majorHAnsi"/>
          <w:szCs w:val="22"/>
        </w:rPr>
        <w:t xml:space="preserve">Publications and white papers arising from the SEI were carefully catalogued on the SEI website (see </w:t>
      </w:r>
      <w:hyperlink r:id="rId9" w:history="1">
        <w:r w:rsidRPr="00E92853">
          <w:rPr>
            <w:rStyle w:val="Hyperlink"/>
            <w:rFonts w:asciiTheme="majorHAnsi" w:hAnsiTheme="majorHAnsi" w:cstheme="majorHAnsi"/>
            <w:color w:val="1155CC"/>
            <w:szCs w:val="22"/>
          </w:rPr>
          <w:t>http://www.cwsei.ubc.ca/SEI_research/index.html</w:t>
        </w:r>
      </w:hyperlink>
      <w:r w:rsidR="00E92853" w:rsidRPr="00E92853">
        <w:rPr>
          <w:rFonts w:asciiTheme="majorHAnsi" w:hAnsiTheme="majorHAnsi" w:cstheme="majorHAnsi"/>
          <w:szCs w:val="22"/>
        </w:rPr>
        <w:t xml:space="preserve"> ). </w:t>
      </w:r>
      <w:r w:rsidRPr="00E92853">
        <w:rPr>
          <w:rFonts w:asciiTheme="majorHAnsi" w:hAnsiTheme="majorHAnsi" w:cstheme="majorHAnsi"/>
          <w:szCs w:val="22"/>
        </w:rPr>
        <w:t>This collection demonstrated the contribution of the SEI to the scholarly literature.</w:t>
      </w:r>
    </w:p>
    <w:p w14:paraId="148A9C19" w14:textId="11929FA5" w:rsidR="0013238B" w:rsidRPr="00E92853" w:rsidRDefault="0013238B" w:rsidP="00886CC3">
      <w:pPr>
        <w:pStyle w:val="ListParagraph"/>
        <w:widowControl w:val="0"/>
        <w:numPr>
          <w:ilvl w:val="0"/>
          <w:numId w:val="5"/>
        </w:numPr>
        <w:rPr>
          <w:rFonts w:asciiTheme="majorHAnsi" w:hAnsiTheme="majorHAnsi" w:cstheme="majorHAnsi"/>
          <w:szCs w:val="22"/>
        </w:rPr>
      </w:pPr>
      <w:r w:rsidRPr="00E92853">
        <w:rPr>
          <w:rFonts w:asciiTheme="majorHAnsi" w:hAnsiTheme="majorHAnsi" w:cstheme="majorHAnsi"/>
          <w:b/>
          <w:bCs/>
          <w:szCs w:val="22"/>
        </w:rPr>
        <w:t xml:space="preserve">Career trajectories for </w:t>
      </w:r>
      <w:r w:rsidR="00886CC3">
        <w:rPr>
          <w:rFonts w:asciiTheme="majorHAnsi" w:hAnsiTheme="majorHAnsi" w:cstheme="majorHAnsi"/>
          <w:b/>
          <w:bCs/>
          <w:szCs w:val="22"/>
        </w:rPr>
        <w:t>DBES</w:t>
      </w:r>
      <w:r w:rsidRPr="00E92853">
        <w:rPr>
          <w:rFonts w:asciiTheme="majorHAnsi" w:hAnsiTheme="majorHAnsi" w:cstheme="majorHAnsi"/>
          <w:b/>
          <w:bCs/>
          <w:szCs w:val="22"/>
        </w:rPr>
        <w:t>s:</w:t>
      </w:r>
      <w:r w:rsidR="00E92853" w:rsidRPr="00E92853">
        <w:rPr>
          <w:rFonts w:asciiTheme="majorHAnsi" w:hAnsiTheme="majorHAnsi" w:cstheme="majorHAnsi"/>
          <w:szCs w:val="22"/>
        </w:rPr>
        <w:t xml:space="preserve"> </w:t>
      </w:r>
      <w:r w:rsidRPr="00E92853">
        <w:rPr>
          <w:rFonts w:asciiTheme="majorHAnsi" w:hAnsiTheme="majorHAnsi" w:cstheme="majorHAnsi"/>
          <w:szCs w:val="22"/>
        </w:rPr>
        <w:t xml:space="preserve">As possible, the career trajectories of </w:t>
      </w:r>
      <w:r w:rsidR="00886CC3">
        <w:rPr>
          <w:rFonts w:asciiTheme="majorHAnsi" w:hAnsiTheme="majorHAnsi" w:cstheme="majorHAnsi"/>
          <w:szCs w:val="22"/>
        </w:rPr>
        <w:t>DBES</w:t>
      </w:r>
      <w:r w:rsidRPr="00E92853">
        <w:rPr>
          <w:rFonts w:asciiTheme="majorHAnsi" w:hAnsiTheme="majorHAnsi" w:cstheme="majorHAnsi"/>
          <w:szCs w:val="22"/>
        </w:rPr>
        <w:t>s were tracked</w:t>
      </w:r>
      <w:r w:rsidR="00B6426C">
        <w:rPr>
          <w:rFonts w:asciiTheme="majorHAnsi" w:hAnsiTheme="majorHAnsi" w:cstheme="majorHAnsi"/>
          <w:szCs w:val="22"/>
        </w:rPr>
        <w:t>; these</w:t>
      </w:r>
      <w:r w:rsidRPr="00E92853">
        <w:rPr>
          <w:rFonts w:asciiTheme="majorHAnsi" w:hAnsiTheme="majorHAnsi" w:cstheme="majorHAnsi"/>
          <w:szCs w:val="22"/>
        </w:rPr>
        <w:t xml:space="preserve"> show</w:t>
      </w:r>
      <w:r w:rsidR="00B6426C">
        <w:rPr>
          <w:rFonts w:asciiTheme="majorHAnsi" w:hAnsiTheme="majorHAnsi" w:cstheme="majorHAnsi"/>
          <w:szCs w:val="22"/>
        </w:rPr>
        <w:t>ed</w:t>
      </w:r>
      <w:r w:rsidRPr="00E92853">
        <w:rPr>
          <w:rFonts w:asciiTheme="majorHAnsi" w:hAnsiTheme="majorHAnsi" w:cstheme="majorHAnsi"/>
          <w:szCs w:val="22"/>
        </w:rPr>
        <w:t xml:space="preserve"> that </w:t>
      </w:r>
      <w:r w:rsidR="00886CC3">
        <w:rPr>
          <w:rFonts w:asciiTheme="majorHAnsi" w:hAnsiTheme="majorHAnsi" w:cstheme="majorHAnsi"/>
          <w:szCs w:val="22"/>
        </w:rPr>
        <w:t>DBES</w:t>
      </w:r>
      <w:r w:rsidRPr="00E92853">
        <w:rPr>
          <w:rFonts w:asciiTheme="majorHAnsi" w:hAnsiTheme="majorHAnsi" w:cstheme="majorHAnsi"/>
          <w:szCs w:val="22"/>
        </w:rPr>
        <w:t>s were successful as a group in finding post-SEI employment.</w:t>
      </w:r>
    </w:p>
    <w:p w14:paraId="24932F6B" w14:textId="39605476" w:rsidR="0013238B" w:rsidRPr="00E92853" w:rsidRDefault="0013238B" w:rsidP="00886CC3">
      <w:pPr>
        <w:pStyle w:val="ListParagraph"/>
        <w:widowControl w:val="0"/>
        <w:numPr>
          <w:ilvl w:val="0"/>
          <w:numId w:val="5"/>
        </w:numPr>
        <w:rPr>
          <w:rFonts w:asciiTheme="majorHAnsi" w:hAnsiTheme="majorHAnsi" w:cstheme="majorHAnsi"/>
          <w:szCs w:val="22"/>
        </w:rPr>
      </w:pPr>
      <w:r w:rsidRPr="00E92853">
        <w:rPr>
          <w:rFonts w:asciiTheme="majorHAnsi" w:hAnsiTheme="majorHAnsi" w:cstheme="majorHAnsi"/>
          <w:b/>
          <w:bCs/>
          <w:szCs w:val="22"/>
        </w:rPr>
        <w:t>Inspiration of other change programs:</w:t>
      </w:r>
      <w:r w:rsidR="00E92853" w:rsidRPr="00E92853">
        <w:rPr>
          <w:rFonts w:asciiTheme="majorHAnsi" w:hAnsiTheme="majorHAnsi" w:cstheme="majorHAnsi"/>
          <w:szCs w:val="22"/>
        </w:rPr>
        <w:t xml:space="preserve"> </w:t>
      </w:r>
      <w:r w:rsidRPr="00E92853">
        <w:rPr>
          <w:rFonts w:asciiTheme="majorHAnsi" w:hAnsiTheme="majorHAnsi" w:cstheme="majorHAnsi"/>
          <w:szCs w:val="22"/>
        </w:rPr>
        <w:t>An attempt has also been made to track the number of institutions w</w:t>
      </w:r>
      <w:r w:rsidR="00E92853" w:rsidRPr="00E92853">
        <w:rPr>
          <w:rFonts w:asciiTheme="majorHAnsi" w:hAnsiTheme="majorHAnsi" w:cstheme="majorHAnsi"/>
          <w:szCs w:val="22"/>
        </w:rPr>
        <w:t xml:space="preserve">ho have adopted the SEI model. </w:t>
      </w:r>
      <w:r w:rsidRPr="00E92853">
        <w:rPr>
          <w:rFonts w:asciiTheme="majorHAnsi" w:hAnsiTheme="majorHAnsi" w:cstheme="majorHAnsi"/>
          <w:szCs w:val="22"/>
        </w:rPr>
        <w:t>These SEI-inspired programs are a hallmark of the transportability of the model.</w:t>
      </w:r>
    </w:p>
    <w:p w14:paraId="2E7B2F8D" w14:textId="77777777" w:rsidR="0013238B" w:rsidRPr="0013238B" w:rsidRDefault="0013238B" w:rsidP="0013238B">
      <w:pPr>
        <w:textAlignment w:val="baseline"/>
        <w:rPr>
          <w:rFonts w:asciiTheme="majorHAnsi" w:hAnsiTheme="majorHAnsi" w:cstheme="majorHAnsi"/>
          <w:szCs w:val="22"/>
        </w:rPr>
      </w:pPr>
    </w:p>
    <w:p w14:paraId="70770B0B" w14:textId="0211D089" w:rsidR="00AD3F79" w:rsidRPr="006120F9" w:rsidRDefault="0013238B" w:rsidP="006120F9">
      <w:pPr>
        <w:rPr>
          <w:rFonts w:cstheme="majorHAnsi"/>
          <w:szCs w:val="22"/>
        </w:rPr>
      </w:pPr>
      <w:r w:rsidRPr="006120F9">
        <w:rPr>
          <w:rFonts w:cstheme="majorHAnsi"/>
          <w:szCs w:val="22"/>
        </w:rPr>
        <w:t xml:space="preserve">For more detail about the outcomes in the SEI, please see </w:t>
      </w:r>
      <w:r w:rsidRPr="006120F9">
        <w:rPr>
          <w:rFonts w:cstheme="majorHAnsi"/>
          <w:i/>
          <w:szCs w:val="22"/>
        </w:rPr>
        <w:t>Improving How Universities Teach Science: Lessons from the Science Education Initiative</w:t>
      </w:r>
      <w:r w:rsidRPr="006120F9">
        <w:rPr>
          <w:rFonts w:cstheme="majorHAnsi"/>
          <w:szCs w:val="22"/>
        </w:rPr>
        <w:t xml:space="preserve"> (</w:t>
      </w:r>
      <w:r w:rsidR="00B6426C">
        <w:rPr>
          <w:rFonts w:cstheme="majorHAnsi"/>
          <w:szCs w:val="22"/>
        </w:rPr>
        <w:t xml:space="preserve">Wieman, </w:t>
      </w:r>
      <w:r w:rsidRPr="006120F9">
        <w:rPr>
          <w:rFonts w:cstheme="majorHAnsi"/>
          <w:szCs w:val="22"/>
        </w:rPr>
        <w:t>2017).</w:t>
      </w:r>
    </w:p>
    <w:sectPr w:rsidR="00AD3F79" w:rsidRPr="006120F9" w:rsidSect="00486762">
      <w:headerReference w:type="default" r:id="rId10"/>
      <w:footerReference w:type="even" r:id="rId11"/>
      <w:footerReference w:type="default" r:id="rId12"/>
      <w:headerReference w:type="first" r:id="rId13"/>
      <w:footerReference w:type="first" r:id="rId14"/>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1E02" w14:textId="77777777" w:rsidR="0062103C" w:rsidRDefault="0062103C">
      <w:r>
        <w:separator/>
      </w:r>
    </w:p>
  </w:endnote>
  <w:endnote w:type="continuationSeparator" w:id="0">
    <w:p w14:paraId="5776B7CB" w14:textId="77777777" w:rsidR="0062103C" w:rsidRDefault="0062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0D4CC98E"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0CFE">
          <w:rPr>
            <w:rStyle w:val="PageNumber"/>
            <w:noProof/>
          </w:rPr>
          <w:t>2</w:t>
        </w:r>
        <w:r>
          <w:rPr>
            <w:rStyle w:val="PageNumber"/>
          </w:rPr>
          <w:fldChar w:fldCharType="end"/>
        </w:r>
      </w:p>
    </w:sdtContent>
  </w:sdt>
  <w:p w14:paraId="767EFD99" w14:textId="26D11028" w:rsidR="00502550" w:rsidRPr="00486762" w:rsidRDefault="008866C2" w:rsidP="00DD4AB5">
    <w:pPr>
      <w:pStyle w:val="Footer"/>
      <w:shd w:val="clear" w:color="auto" w:fill="D9D9D9" w:themeFill="background1" w:themeFillShade="D9"/>
      <w:ind w:right="360"/>
      <w:rPr>
        <w:sz w:val="20"/>
        <w:szCs w:val="20"/>
      </w:rPr>
    </w:pPr>
    <w:r>
      <w:rPr>
        <w:i/>
        <w:sz w:val="20"/>
        <w:szCs w:val="20"/>
      </w:rPr>
      <w:t>Assessment Metrics in SEI</w:t>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289B983E" w:rsidR="00502550" w:rsidRDefault="00502550" w:rsidP="00886CC3">
        <w:pPr>
          <w:pStyle w:val="Footer"/>
          <w:framePr w:wrap="none" w:vAnchor="text" w:hAnchor="page" w:x="11245" w:y="18"/>
          <w:rPr>
            <w:rStyle w:val="PageNumber"/>
          </w:rPr>
        </w:pPr>
        <w:r>
          <w:rPr>
            <w:rStyle w:val="PageNumber"/>
          </w:rPr>
          <w:fldChar w:fldCharType="begin"/>
        </w:r>
        <w:r>
          <w:rPr>
            <w:rStyle w:val="PageNumber"/>
          </w:rPr>
          <w:instrText xml:space="preserve"> PAGE </w:instrText>
        </w:r>
        <w:r>
          <w:rPr>
            <w:rStyle w:val="PageNumber"/>
          </w:rPr>
          <w:fldChar w:fldCharType="separate"/>
        </w:r>
        <w:r w:rsidR="00730CFE">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0C27" w14:textId="77777777" w:rsidR="0062103C" w:rsidRDefault="0062103C">
      <w:r>
        <w:separator/>
      </w:r>
    </w:p>
  </w:footnote>
  <w:footnote w:type="continuationSeparator" w:id="0">
    <w:p w14:paraId="6CA0EDFC" w14:textId="77777777" w:rsidR="0062103C" w:rsidRDefault="0062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0CDB0C18" w:rsidR="00AD3F79" w:rsidRPr="007236EB" w:rsidRDefault="004B10D4" w:rsidP="004B10D4">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sidRPr="007236EB">
      <w:rPr>
        <w:rFonts w:ascii="Arial" w:hAnsi="Arial" w:cs="Arial"/>
        <w:i/>
        <w:noProof/>
        <w:sz w:val="20"/>
        <w:szCs w:val="20"/>
      </w:rPr>
      <w:drawing>
        <wp:anchor distT="0" distB="0" distL="114300" distR="114300" simplePos="0" relativeHeight="251659264" behindDoc="0" locked="0" layoutInCell="1" allowOverlap="1" wp14:anchorId="304CE488" wp14:editId="1EAA333D">
          <wp:simplePos x="0" y="0"/>
          <wp:positionH relativeFrom="column">
            <wp:posOffset>-8792</wp:posOffset>
          </wp:positionH>
          <wp:positionV relativeFrom="paragraph">
            <wp:posOffset>42105</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008866C2" w:rsidRPr="007236EB">
      <w:rPr>
        <w:rFonts w:ascii="Arial" w:hAnsi="Arial" w:cs="Arial"/>
        <w:i/>
        <w:sz w:val="20"/>
        <w:szCs w:val="20"/>
      </w:rPr>
      <w:t xml:space="preserve">Assessment Metrics </w:t>
    </w:r>
    <w:r w:rsidRPr="007236EB">
      <w:rPr>
        <w:rFonts w:ascii="Arial" w:hAnsi="Arial" w:cs="Arial"/>
        <w:i/>
        <w:sz w:val="20"/>
        <w:szCs w:val="20"/>
      </w:rPr>
      <w:t xml:space="preserve">Used </w:t>
    </w:r>
    <w:r w:rsidR="008866C2" w:rsidRPr="007236EB">
      <w:rPr>
        <w:rFonts w:ascii="Arial" w:hAnsi="Arial" w:cs="Arial"/>
        <w:i/>
        <w:sz w:val="20"/>
        <w:szCs w:val="20"/>
      </w:rPr>
      <w:t>in</w:t>
    </w:r>
    <w:r w:rsidRPr="007236EB">
      <w:rPr>
        <w:rFonts w:ascii="Arial" w:hAnsi="Arial" w:cs="Arial"/>
        <w:i/>
        <w:sz w:val="20"/>
        <w:szCs w:val="20"/>
      </w:rPr>
      <w:t xml:space="preserve"> the</w:t>
    </w:r>
    <w:r w:rsidR="008866C2" w:rsidRPr="007236EB">
      <w:rPr>
        <w:rFonts w:ascii="Arial" w:hAnsi="Arial" w:cs="Arial"/>
        <w:i/>
        <w:sz w:val="20"/>
        <w:szCs w:val="20"/>
      </w:rPr>
      <w:t xml:space="preserve"> SEI</w:t>
    </w:r>
  </w:p>
  <w:p w14:paraId="7C655680" w14:textId="1EBA1735" w:rsidR="004B10D4" w:rsidRPr="007236EB" w:rsidRDefault="002F0E32" w:rsidP="004B10D4">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7236EB">
      <w:rPr>
        <w:rFonts w:ascii="Arial" w:hAnsi="Arial" w:cs="Arial"/>
        <w:sz w:val="20"/>
        <w:szCs w:val="20"/>
      </w:rPr>
      <w:t xml:space="preserve">Updated: </w:t>
    </w:r>
    <w:r w:rsidR="00730CFE" w:rsidRPr="007236EB">
      <w:rPr>
        <w:rFonts w:ascii="Arial" w:hAnsi="Arial" w:cs="Arial"/>
        <w:sz w:val="20"/>
        <w:szCs w:val="20"/>
      </w:rPr>
      <w:t>August 2018</w:t>
    </w:r>
  </w:p>
  <w:p w14:paraId="67D3B868" w14:textId="5106D32A" w:rsidR="00AD3F79" w:rsidRPr="007236EB" w:rsidRDefault="0062103C" w:rsidP="004B10D4">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004B10D4" w:rsidRPr="007236EB">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B10"/>
    <w:multiLevelType w:val="hybridMultilevel"/>
    <w:tmpl w:val="775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8BC"/>
    <w:multiLevelType w:val="hybridMultilevel"/>
    <w:tmpl w:val="7B9C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DDB"/>
    <w:multiLevelType w:val="hybridMultilevel"/>
    <w:tmpl w:val="01CC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3541"/>
    <w:multiLevelType w:val="multilevel"/>
    <w:tmpl w:val="7A64BA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E57C19"/>
    <w:multiLevelType w:val="hybridMultilevel"/>
    <w:tmpl w:val="4C6A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72D4C"/>
    <w:multiLevelType w:val="hybridMultilevel"/>
    <w:tmpl w:val="0422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33BD4"/>
    <w:rsid w:val="000D5362"/>
    <w:rsid w:val="000E1EDB"/>
    <w:rsid w:val="0013238B"/>
    <w:rsid w:val="00137252"/>
    <w:rsid w:val="001557D6"/>
    <w:rsid w:val="001E3E4E"/>
    <w:rsid w:val="001F7B6B"/>
    <w:rsid w:val="002902C4"/>
    <w:rsid w:val="002C53BD"/>
    <w:rsid w:val="002F0E32"/>
    <w:rsid w:val="002F2272"/>
    <w:rsid w:val="0032377D"/>
    <w:rsid w:val="003307A6"/>
    <w:rsid w:val="00332383"/>
    <w:rsid w:val="003A79F3"/>
    <w:rsid w:val="003B123F"/>
    <w:rsid w:val="003B2DA1"/>
    <w:rsid w:val="00435211"/>
    <w:rsid w:val="00486762"/>
    <w:rsid w:val="004B10D4"/>
    <w:rsid w:val="00502550"/>
    <w:rsid w:val="005A245C"/>
    <w:rsid w:val="006120F9"/>
    <w:rsid w:val="0062103C"/>
    <w:rsid w:val="006C2A85"/>
    <w:rsid w:val="007236EB"/>
    <w:rsid w:val="00730CFE"/>
    <w:rsid w:val="00764F89"/>
    <w:rsid w:val="008866C2"/>
    <w:rsid w:val="00886CC3"/>
    <w:rsid w:val="008B16D1"/>
    <w:rsid w:val="008D5281"/>
    <w:rsid w:val="009B1DCD"/>
    <w:rsid w:val="00A24D52"/>
    <w:rsid w:val="00AB2CD7"/>
    <w:rsid w:val="00AD3F79"/>
    <w:rsid w:val="00B6426C"/>
    <w:rsid w:val="00BE68C9"/>
    <w:rsid w:val="00C47E6B"/>
    <w:rsid w:val="00C65AFF"/>
    <w:rsid w:val="00C965B2"/>
    <w:rsid w:val="00CA7866"/>
    <w:rsid w:val="00D10F5A"/>
    <w:rsid w:val="00DC67CC"/>
    <w:rsid w:val="00DD4AB5"/>
    <w:rsid w:val="00DE66AE"/>
    <w:rsid w:val="00E20351"/>
    <w:rsid w:val="00E630C2"/>
    <w:rsid w:val="00E92853"/>
    <w:rsid w:val="00E95653"/>
    <w:rsid w:val="00E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E6B"/>
    <w:pPr>
      <w:contextualSpacing/>
    </w:pPr>
    <w:rPr>
      <w:rFonts w:ascii="Calibri" w:hAnsi="Calibri"/>
      <w:sz w:val="22"/>
    </w:rPr>
  </w:style>
  <w:style w:type="paragraph" w:styleId="Heading1">
    <w:name w:val="heading 1"/>
    <w:basedOn w:val="Normal"/>
    <w:next w:val="Normal"/>
    <w:rsid w:val="002F0E32"/>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0E1EDB"/>
    <w:pPr>
      <w:keepNext/>
      <w:keepLines/>
      <w:spacing w:before="360" w:after="80"/>
      <w:outlineLvl w:val="1"/>
    </w:pPr>
    <w:rPr>
      <w:rFonts w:eastAsia="Calibri" w:cs="Calibri"/>
      <w:b/>
      <w:sz w:val="36"/>
      <w:szCs w:val="28"/>
    </w:rPr>
  </w:style>
  <w:style w:type="paragraph" w:styleId="Heading3">
    <w:name w:val="heading 3"/>
    <w:basedOn w:val="Normal"/>
    <w:next w:val="Normal"/>
    <w:rsid w:val="002F0E32"/>
    <w:pPr>
      <w:keepNext/>
      <w:keepLines/>
      <w:spacing w:before="280" w:after="80"/>
      <w:outlineLvl w:val="2"/>
    </w:pPr>
    <w:rPr>
      <w:rFonts w:ascii="Cambria" w:eastAsia="Calibri" w:hAnsi="Cambria" w:cs="Calibri"/>
      <w:b/>
      <w:sz w:val="28"/>
    </w:rPr>
  </w:style>
  <w:style w:type="paragraph" w:styleId="Heading4">
    <w:name w:val="heading 4"/>
    <w:basedOn w:val="Normal"/>
    <w:next w:val="Normal"/>
    <w:rsid w:val="000E1EDB"/>
    <w:pPr>
      <w:keepNext/>
      <w:keepLines/>
      <w:spacing w:before="240" w:after="40"/>
      <w:outlineLvl w:val="3"/>
    </w:pPr>
    <w:rPr>
      <w:rFonts w:asciiTheme="majorHAnsi" w:hAnsiTheme="majorHAnsi"/>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E32"/>
    <w:pPr>
      <w:keepNext/>
      <w:keepLines/>
      <w:spacing w:before="480" w:after="120"/>
      <w:jc w:val="center"/>
    </w:pPr>
    <w:rPr>
      <w:rFonts w:ascii="Cambria" w:hAnsi="Cambria"/>
      <w:b/>
      <w:sz w:val="36"/>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2F0E32"/>
    <w:rPr>
      <w:rFonts w:ascii="Cambria" w:hAnsi="Cambria"/>
      <w:b/>
      <w:sz w:val="36"/>
      <w:szCs w:val="72"/>
    </w:rPr>
  </w:style>
  <w:style w:type="paragraph" w:styleId="ListParagraph">
    <w:name w:val="List Paragraph"/>
    <w:basedOn w:val="Normal"/>
    <w:uiPriority w:val="34"/>
    <w:qFormat/>
    <w:rsid w:val="00AB2CD7"/>
    <w:pPr>
      <w:pBdr>
        <w:top w:val="none" w:sz="0" w:space="0" w:color="auto"/>
        <w:left w:val="none" w:sz="0" w:space="0" w:color="auto"/>
        <w:bottom w:val="none" w:sz="0" w:space="0" w:color="auto"/>
        <w:right w:val="none" w:sz="0" w:space="0" w:color="auto"/>
        <w:between w:val="none" w:sz="0" w:space="0" w:color="auto"/>
      </w:pBdr>
      <w:ind w:left="720"/>
    </w:pPr>
    <w:rPr>
      <w:rFonts w:asciiTheme="minorHAnsi" w:eastAsiaTheme="minorEastAsia" w:hAnsiTheme="minorHAnsi" w:cstheme="minorBidi"/>
      <w:color w:val="auto"/>
      <w:lang w:eastAsia="ja-JP"/>
    </w:rPr>
  </w:style>
  <w:style w:type="table" w:styleId="TableGrid">
    <w:name w:val="Table Grid"/>
    <w:basedOn w:val="TableNormal"/>
    <w:uiPriority w:val="59"/>
    <w:rsid w:val="000E1EDB"/>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9044">
      <w:bodyDiv w:val="1"/>
      <w:marLeft w:val="0"/>
      <w:marRight w:val="0"/>
      <w:marTop w:val="0"/>
      <w:marBottom w:val="0"/>
      <w:divBdr>
        <w:top w:val="none" w:sz="0" w:space="0" w:color="auto"/>
        <w:left w:val="none" w:sz="0" w:space="0" w:color="auto"/>
        <w:bottom w:val="none" w:sz="0" w:space="0" w:color="auto"/>
        <w:right w:val="none" w:sz="0" w:space="0" w:color="auto"/>
      </w:divBdr>
    </w:div>
    <w:div w:id="1679430376">
      <w:bodyDiv w:val="1"/>
      <w:marLeft w:val="0"/>
      <w:marRight w:val="0"/>
      <w:marTop w:val="0"/>
      <w:marBottom w:val="0"/>
      <w:divBdr>
        <w:top w:val="none" w:sz="0" w:space="0" w:color="auto"/>
        <w:left w:val="none" w:sz="0" w:space="0" w:color="auto"/>
        <w:bottom w:val="none" w:sz="0" w:space="0" w:color="auto"/>
        <w:right w:val="none" w:sz="0" w:space="0" w:color="auto"/>
      </w:divBdr>
    </w:div>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wsei.ubc.ca/departments/lifesciences_courses.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essbooks.bccampus.ca/seihandbook/chapter/supplemental-docume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wsei.ubc.ca/SEI_research/index.htm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15</cp:revision>
  <dcterms:created xsi:type="dcterms:W3CDTF">2018-07-03T18:21:00Z</dcterms:created>
  <dcterms:modified xsi:type="dcterms:W3CDTF">2018-08-24T14:26:00Z</dcterms:modified>
</cp:coreProperties>
</file>