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VIU Library 2023-24, by the numbers. Source: VIU Library Statistics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There were approximately 500,000 physical visits, and 665,000 online searches. 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250,000 journal articles were accessed. 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The library would need 12 additional floors if our 2.1 million ebooks were in print. 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  <w:t xml:space="preserve">Librarians offered over 200 hours of information literacy instruction to more than 3000 students.</w:t>
      </w:r>
    </w:p>
    <w:p w:rsidR="00000000" w:rsidDel="00000000" w:rsidP="00000000" w:rsidRDefault="00000000" w:rsidRPr="00000000" w14:paraId="0000000A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rtl w:val="0"/>
        </w:rPr>
        <w:t xml:space="preserve">13,000 questions were answered by library employees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There were over 1000 live chats assisting students and employees at the moment of need.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There are 22,787 items in VIUSpace, which is open to the world to access, including Google and Wikipedia articles</w:t>
      </w:r>
    </w:p>
    <w:p w:rsidR="00000000" w:rsidDel="00000000" w:rsidP="00000000" w:rsidRDefault="00000000" w:rsidRPr="00000000" w14:paraId="0000001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/>
      </w:pPr>
      <w:r w:rsidDel="00000000" w:rsidR="00000000" w:rsidRPr="00000000">
        <w:rPr>
          <w:rtl w:val="0"/>
        </w:rPr>
        <w:t xml:space="preserve">There are 255 registered community borrowers.</w:t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